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6"/>
          <w:szCs w:val="26"/>
        </w:rPr>
      </w:pPr>
      <w:r>
        <w:rPr>
          <w:rFonts w:hint="eastAsia" w:ascii="黑体" w:hAnsi="黑体" w:eastAsia="黑体" w:cs="黑体"/>
          <w:bCs/>
          <w:sz w:val="26"/>
          <w:szCs w:val="26"/>
        </w:rPr>
        <w:t>附件2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报名表</w:t>
      </w:r>
    </w:p>
    <w:tbl>
      <w:tblPr>
        <w:tblStyle w:val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77"/>
        <w:gridCol w:w="720"/>
        <w:gridCol w:w="905"/>
        <w:gridCol w:w="1414"/>
        <w:gridCol w:w="1106"/>
        <w:gridCol w:w="1080"/>
        <w:gridCol w:w="1077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现有专业技术资格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是否有住院医规培合格证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规培单位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规培专业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学习和工作经历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曾经获得的奖励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论文科研情况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B3B79"/>
    <w:rsid w:val="038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2020-07-14T00:12:00Z</dcterms:created>
  <dc:creator>凤姐Phenix</dc:creator>
  <cp:lastModifiedBy>凤姐Phenix</cp:lastModifiedBy>
  <dcterms:modified xsi:type="dcterms:W3CDTF">2020-07-14T00:12:27Z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