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6"/>
          <w:szCs w:val="26"/>
        </w:rPr>
      </w:pPr>
      <w:r>
        <w:rPr>
          <w:rFonts w:hint="eastAsia" w:ascii="黑体" w:hAnsi="黑体" w:eastAsia="黑体" w:cs="黑体"/>
          <w:bCs/>
          <w:sz w:val="26"/>
          <w:szCs w:val="26"/>
        </w:rPr>
        <w:t>附件1</w:t>
      </w:r>
    </w:p>
    <w:p>
      <w:pPr>
        <w:ind w:firstLine="320" w:firstLineChars="10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3"/>
        <w:tblW w:w="11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60"/>
        <w:gridCol w:w="1507"/>
        <w:gridCol w:w="3065"/>
        <w:gridCol w:w="3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拟聘岗位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职称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专业要求（方向）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精神科门诊专家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大学本科及以上学历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副主任医师及以上职称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具有医师执业资格；擅长各类精神疾病的诊治。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消化科门诊专家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大学本科及以上学历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副主任医师及以上职称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具有医师执业资格；擅长各类消化疾病的诊治，尤其是功能性胃肠病。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神经内科门诊专家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大学本科及以上学历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副主任医师及以上职称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具有医师执业资格；擅长各类神经疾病的诊治，尤其是神经心理方向。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疼痛科门诊专家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大学本科及以上学历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副主任医师及以上职称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具有医师执业资格；擅长各类疼痛疾病的诊治。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心内科门诊专家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大学本科及以上学历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副主任医师及以上职称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临床医学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具有医师执业资格；擅长各类心血管疾病的诊治，尤其是双心医学。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心理咨询门诊专家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硕士研究生及以上学历学位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二级心理咨询师或中级心理治疗师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心理学类或临床医学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接受过规范化系统的心理治疗、咨询培训，从事心理治疗、咨询实践工作5年以上，有长期接受个人督导的经历。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657E1"/>
    <w:rsid w:val="4C2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2020-11-23T03:17:00Z</dcterms:created>
  <dc:creator>木兰映书香</dc:creator>
  <cp:lastModifiedBy>木兰映书香</cp:lastModifiedBy>
  <dcterms:modified xsi:type="dcterms:W3CDTF">2020-11-23T03:26:29Z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