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AAF8E4" w14:textId="6FC45527" w:rsidR="007C3D4C" w:rsidRPr="00C43A8F" w:rsidRDefault="00E90D03" w:rsidP="00E90D03">
      <w:pPr>
        <w:pStyle w:val="1"/>
        <w:rPr>
          <w:rFonts w:ascii="仿宋" w:eastAsia="仿宋" w:hAnsi="仿宋"/>
        </w:rPr>
      </w:pPr>
      <w:r w:rsidRPr="00C43A8F">
        <w:rPr>
          <w:rFonts w:ascii="仿宋" w:eastAsia="仿宋" w:hAnsi="仿宋" w:hint="eastAsia"/>
        </w:rPr>
        <w:t>需求参数</w:t>
      </w:r>
    </w:p>
    <w:p w14:paraId="325A9C4D" w14:textId="3D86714F" w:rsidR="00E90D03" w:rsidRPr="00C43A8F" w:rsidRDefault="00C67967" w:rsidP="00E90D03">
      <w:pPr>
        <w:pStyle w:val="2"/>
        <w:rPr>
          <w:rFonts w:ascii="仿宋" w:eastAsia="仿宋" w:hAnsi="仿宋"/>
        </w:rPr>
      </w:pPr>
      <w:r w:rsidRPr="00C67967">
        <w:rPr>
          <w:rFonts w:ascii="仿宋" w:eastAsia="仿宋" w:hAnsi="仿宋" w:hint="eastAsia"/>
        </w:rPr>
        <w:t>信息设备现场维护等服务</w:t>
      </w:r>
      <w:r>
        <w:rPr>
          <w:rFonts w:ascii="仿宋" w:eastAsia="仿宋" w:hAnsi="仿宋" w:hint="eastAsia"/>
        </w:rPr>
        <w:t>采购项目</w:t>
      </w:r>
      <w:r w:rsidR="00E90D03" w:rsidRPr="00C43A8F">
        <w:rPr>
          <w:rFonts w:ascii="仿宋" w:eastAsia="仿宋" w:hAnsi="仿宋"/>
        </w:rPr>
        <w:t>：</w:t>
      </w:r>
    </w:p>
    <w:p w14:paraId="72000D7D" w14:textId="77777777" w:rsidR="00C67967" w:rsidRDefault="00C67967" w:rsidP="00C67967">
      <w:pPr>
        <w:spacing w:line="360" w:lineRule="auto"/>
        <w:ind w:firstLineChars="200" w:firstLine="562"/>
        <w:jc w:val="left"/>
        <w:outlineLvl w:val="1"/>
        <w:rPr>
          <w:rFonts w:ascii="仿宋" w:eastAsia="仿宋" w:hAnsi="仿宋" w:cs="仿宋"/>
          <w:b/>
          <w:bCs/>
          <w:sz w:val="28"/>
          <w:szCs w:val="28"/>
        </w:rPr>
      </w:pPr>
      <w:r>
        <w:rPr>
          <w:rFonts w:ascii="仿宋" w:eastAsia="仿宋" w:hAnsi="仿宋" w:cs="仿宋" w:hint="eastAsia"/>
          <w:b/>
          <w:bCs/>
          <w:sz w:val="28"/>
          <w:szCs w:val="28"/>
        </w:rPr>
        <w:t>一、项目概述</w:t>
      </w:r>
    </w:p>
    <w:p w14:paraId="07126435" w14:textId="77777777" w:rsidR="00C67967" w:rsidRDefault="00C67967" w:rsidP="00C67967">
      <w:pPr>
        <w:spacing w:line="360" w:lineRule="auto"/>
        <w:ind w:firstLineChars="200" w:firstLine="480"/>
        <w:jc w:val="left"/>
        <w:rPr>
          <w:rFonts w:ascii="仿宋" w:eastAsia="仿宋" w:hAnsi="仿宋" w:cs="仿宋"/>
          <w:sz w:val="24"/>
        </w:rPr>
      </w:pPr>
      <w:bookmarkStart w:id="0" w:name="_Toc30752"/>
      <w:bookmarkStart w:id="1" w:name="_Toc16999"/>
      <w:bookmarkStart w:id="2" w:name="_Toc217446095"/>
      <w:r>
        <w:rPr>
          <w:rFonts w:ascii="仿宋" w:eastAsia="仿宋" w:hAnsi="仿宋" w:cs="仿宋" w:hint="eastAsia"/>
          <w:sz w:val="24"/>
        </w:rPr>
        <w:t>四川省精神医学中心现有</w:t>
      </w:r>
      <w:r>
        <w:rPr>
          <w:rFonts w:ascii="仿宋" w:eastAsia="仿宋" w:hAnsi="仿宋" w:cs="仿宋" w:hint="eastAsia"/>
          <w:color w:val="000000"/>
          <w:sz w:val="24"/>
        </w:rPr>
        <w:t>信息设备驻场维护维修，维保期内设备的送修服务及楼宇内信息网络布点服务，</w:t>
      </w:r>
      <w:r>
        <w:rPr>
          <w:rFonts w:ascii="仿宋" w:eastAsia="仿宋" w:hAnsi="仿宋" w:cs="仿宋" w:hint="eastAsia"/>
          <w:sz w:val="24"/>
        </w:rPr>
        <w:t>本次项目的维保范围主要包括四川省精神医学中心门诊科室、住院科室、行政办公部门、信息机房及弱电井中的信息设备。</w:t>
      </w:r>
    </w:p>
    <w:p w14:paraId="679AF907" w14:textId="77777777" w:rsidR="00C67967" w:rsidRDefault="00C67967" w:rsidP="00C67967">
      <w:pPr>
        <w:spacing w:line="360" w:lineRule="auto"/>
        <w:ind w:firstLineChars="200" w:firstLine="562"/>
        <w:jc w:val="left"/>
        <w:outlineLvl w:val="1"/>
        <w:rPr>
          <w:rFonts w:ascii="仿宋" w:eastAsia="仿宋" w:hAnsi="仿宋" w:cs="仿宋"/>
          <w:b/>
          <w:bCs/>
          <w:sz w:val="28"/>
          <w:szCs w:val="28"/>
        </w:rPr>
      </w:pPr>
      <w:bookmarkStart w:id="3" w:name="_Toc18550"/>
      <w:bookmarkEnd w:id="0"/>
      <w:bookmarkEnd w:id="1"/>
      <w:r>
        <w:rPr>
          <w:rFonts w:ascii="仿宋" w:eastAsia="仿宋" w:hAnsi="仿宋" w:cs="仿宋" w:hint="eastAsia"/>
          <w:b/>
          <w:bCs/>
          <w:sz w:val="28"/>
          <w:szCs w:val="28"/>
        </w:rPr>
        <w:t>二、项目服务清单及服务要求</w:t>
      </w:r>
    </w:p>
    <w:p w14:paraId="3F506F17" w14:textId="77777777" w:rsidR="00C67967" w:rsidRDefault="00C67967" w:rsidP="00C67967">
      <w:pPr>
        <w:spacing w:line="360" w:lineRule="auto"/>
        <w:ind w:firstLineChars="200" w:firstLine="562"/>
        <w:jc w:val="left"/>
        <w:outlineLvl w:val="1"/>
        <w:rPr>
          <w:rFonts w:ascii="仿宋" w:eastAsia="仿宋" w:hAnsi="仿宋" w:cs="仿宋"/>
          <w:color w:val="FF0000"/>
          <w:sz w:val="24"/>
        </w:rPr>
      </w:pPr>
      <w:r>
        <w:rPr>
          <w:rFonts w:ascii="仿宋" w:eastAsia="仿宋" w:hAnsi="仿宋" w:cs="仿宋" w:hint="eastAsia"/>
          <w:b/>
          <w:bCs/>
          <w:sz w:val="28"/>
          <w:szCs w:val="28"/>
        </w:rPr>
        <w:t>2.1 服务清单</w:t>
      </w:r>
      <w:bookmarkEnd w:id="3"/>
      <w:r>
        <w:rPr>
          <w:rFonts w:ascii="仿宋" w:eastAsia="仿宋" w:hAnsi="仿宋" w:cs="仿宋" w:hint="eastAsia"/>
          <w:b/>
          <w:bCs/>
          <w:sz w:val="28"/>
          <w:szCs w:val="28"/>
        </w:rPr>
        <w:t xml:space="preserve">     </w:t>
      </w:r>
      <w:r>
        <w:rPr>
          <w:rFonts w:ascii="仿宋" w:eastAsia="仿宋" w:hAnsi="仿宋" w:cs="仿宋" w:hint="eastAsia"/>
          <w:color w:val="FF0000"/>
          <w:sz w:val="24"/>
        </w:rPr>
        <w:t xml:space="preserve">                        </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1"/>
        <w:gridCol w:w="4265"/>
        <w:gridCol w:w="1854"/>
        <w:gridCol w:w="1639"/>
      </w:tblGrid>
      <w:tr w:rsidR="00C67967" w14:paraId="5D874320" w14:textId="77777777" w:rsidTr="00417E68">
        <w:trPr>
          <w:trHeight w:val="390"/>
          <w:jc w:val="center"/>
        </w:trPr>
        <w:tc>
          <w:tcPr>
            <w:tcW w:w="447" w:type="pct"/>
            <w:vAlign w:val="center"/>
          </w:tcPr>
          <w:p w14:paraId="0BC28E44" w14:textId="77777777" w:rsidR="00C67967" w:rsidRDefault="00C67967" w:rsidP="00417E68">
            <w:pPr>
              <w:widowControl/>
              <w:spacing w:line="360" w:lineRule="auto"/>
              <w:jc w:val="center"/>
              <w:rPr>
                <w:rFonts w:ascii="仿宋" w:eastAsia="仿宋" w:hAnsi="仿宋" w:cs="仿宋"/>
                <w:b/>
                <w:bCs/>
                <w:sz w:val="24"/>
              </w:rPr>
            </w:pPr>
            <w:r>
              <w:rPr>
                <w:rFonts w:ascii="仿宋" w:eastAsia="仿宋" w:hAnsi="仿宋" w:cs="仿宋" w:hint="eastAsia"/>
                <w:b/>
                <w:bCs/>
                <w:sz w:val="24"/>
              </w:rPr>
              <w:t>序号</w:t>
            </w:r>
          </w:p>
        </w:tc>
        <w:tc>
          <w:tcPr>
            <w:tcW w:w="2503" w:type="pct"/>
            <w:vAlign w:val="center"/>
          </w:tcPr>
          <w:p w14:paraId="41D87010" w14:textId="77777777" w:rsidR="00C67967" w:rsidRDefault="00C67967" w:rsidP="00417E68">
            <w:pPr>
              <w:widowControl/>
              <w:spacing w:line="360" w:lineRule="auto"/>
              <w:jc w:val="center"/>
              <w:rPr>
                <w:rFonts w:ascii="仿宋" w:eastAsia="仿宋" w:hAnsi="仿宋" w:cs="仿宋"/>
                <w:b/>
                <w:bCs/>
                <w:sz w:val="24"/>
              </w:rPr>
            </w:pPr>
            <w:r>
              <w:rPr>
                <w:rFonts w:ascii="仿宋" w:eastAsia="仿宋" w:hAnsi="仿宋" w:cs="仿宋" w:hint="eastAsia"/>
                <w:b/>
                <w:bCs/>
                <w:sz w:val="24"/>
              </w:rPr>
              <w:t>服务名称</w:t>
            </w:r>
          </w:p>
        </w:tc>
        <w:tc>
          <w:tcPr>
            <w:tcW w:w="1088" w:type="pct"/>
            <w:vAlign w:val="center"/>
          </w:tcPr>
          <w:p w14:paraId="274FF9D8" w14:textId="77777777" w:rsidR="00C67967" w:rsidRDefault="00C67967" w:rsidP="00417E68">
            <w:pPr>
              <w:widowControl/>
              <w:spacing w:line="360" w:lineRule="auto"/>
              <w:jc w:val="center"/>
              <w:rPr>
                <w:rFonts w:ascii="仿宋" w:eastAsia="仿宋" w:hAnsi="仿宋" w:cs="仿宋"/>
                <w:b/>
                <w:bCs/>
                <w:color w:val="FF0000"/>
                <w:sz w:val="24"/>
              </w:rPr>
            </w:pPr>
            <w:r>
              <w:rPr>
                <w:rFonts w:ascii="仿宋" w:eastAsia="仿宋" w:hAnsi="仿宋" w:cs="仿宋" w:hint="eastAsia"/>
                <w:b/>
                <w:bCs/>
                <w:sz w:val="24"/>
              </w:rPr>
              <w:t>数量</w:t>
            </w:r>
          </w:p>
        </w:tc>
        <w:tc>
          <w:tcPr>
            <w:tcW w:w="962" w:type="pct"/>
            <w:vAlign w:val="center"/>
          </w:tcPr>
          <w:p w14:paraId="423099C0" w14:textId="77777777" w:rsidR="00C67967" w:rsidRDefault="00C67967" w:rsidP="00417E68">
            <w:pPr>
              <w:widowControl/>
              <w:spacing w:line="360" w:lineRule="auto"/>
              <w:jc w:val="center"/>
              <w:rPr>
                <w:rFonts w:ascii="仿宋" w:eastAsia="仿宋" w:hAnsi="仿宋" w:cs="仿宋"/>
                <w:b/>
                <w:bCs/>
                <w:color w:val="FF0000"/>
                <w:sz w:val="24"/>
              </w:rPr>
            </w:pPr>
            <w:r>
              <w:rPr>
                <w:rFonts w:ascii="仿宋" w:eastAsia="仿宋" w:hAnsi="仿宋" w:cs="仿宋" w:hint="eastAsia"/>
                <w:b/>
                <w:bCs/>
                <w:sz w:val="24"/>
              </w:rPr>
              <w:t>单位</w:t>
            </w:r>
          </w:p>
        </w:tc>
      </w:tr>
      <w:tr w:rsidR="00C67967" w14:paraId="31473CA6" w14:textId="77777777" w:rsidTr="00417E68">
        <w:trPr>
          <w:trHeight w:val="349"/>
          <w:jc w:val="center"/>
        </w:trPr>
        <w:tc>
          <w:tcPr>
            <w:tcW w:w="447" w:type="pct"/>
          </w:tcPr>
          <w:p w14:paraId="2926FD71" w14:textId="77777777" w:rsidR="00C67967" w:rsidRDefault="00C67967" w:rsidP="00417E68">
            <w:pPr>
              <w:widowControl/>
              <w:spacing w:line="360" w:lineRule="auto"/>
              <w:jc w:val="center"/>
              <w:rPr>
                <w:rFonts w:ascii="仿宋" w:eastAsia="仿宋" w:hAnsi="仿宋" w:cs="仿宋"/>
                <w:sz w:val="24"/>
              </w:rPr>
            </w:pPr>
            <w:r>
              <w:rPr>
                <w:rFonts w:ascii="仿宋" w:eastAsia="仿宋" w:hAnsi="仿宋" w:cs="仿宋" w:hint="eastAsia"/>
                <w:sz w:val="24"/>
              </w:rPr>
              <w:t>1</w:t>
            </w:r>
          </w:p>
        </w:tc>
        <w:tc>
          <w:tcPr>
            <w:tcW w:w="2503" w:type="pct"/>
          </w:tcPr>
          <w:p w14:paraId="57D59138" w14:textId="77777777" w:rsidR="00C67967" w:rsidRDefault="00C67967" w:rsidP="00417E68">
            <w:pPr>
              <w:widowControl/>
              <w:spacing w:line="360" w:lineRule="auto"/>
              <w:jc w:val="center"/>
              <w:rPr>
                <w:rFonts w:ascii="仿宋" w:eastAsia="仿宋" w:hAnsi="仿宋" w:cs="仿宋"/>
                <w:sz w:val="24"/>
              </w:rPr>
            </w:pPr>
            <w:r>
              <w:rPr>
                <w:rFonts w:ascii="仿宋" w:eastAsia="仿宋" w:hAnsi="仿宋" w:cs="仿宋" w:hint="eastAsia"/>
                <w:sz w:val="24"/>
              </w:rPr>
              <w:t>现场维护技术人员</w:t>
            </w:r>
          </w:p>
        </w:tc>
        <w:tc>
          <w:tcPr>
            <w:tcW w:w="1088" w:type="pct"/>
          </w:tcPr>
          <w:p w14:paraId="373101E3" w14:textId="77777777" w:rsidR="00C67967" w:rsidRDefault="00C67967" w:rsidP="00417E68">
            <w:pPr>
              <w:widowControl/>
              <w:spacing w:line="360" w:lineRule="auto"/>
              <w:jc w:val="center"/>
              <w:rPr>
                <w:rFonts w:ascii="仿宋" w:eastAsia="仿宋" w:hAnsi="仿宋" w:cs="仿宋"/>
                <w:sz w:val="24"/>
              </w:rPr>
            </w:pPr>
            <w:r>
              <w:rPr>
                <w:rFonts w:ascii="仿宋" w:eastAsia="仿宋" w:hAnsi="仿宋" w:cs="仿宋"/>
                <w:sz w:val="24"/>
              </w:rPr>
              <w:t>1</w:t>
            </w:r>
          </w:p>
        </w:tc>
        <w:tc>
          <w:tcPr>
            <w:tcW w:w="962" w:type="pct"/>
          </w:tcPr>
          <w:p w14:paraId="6E22348F" w14:textId="77777777" w:rsidR="00C67967" w:rsidRDefault="00C67967" w:rsidP="00417E68">
            <w:pPr>
              <w:widowControl/>
              <w:spacing w:line="360" w:lineRule="auto"/>
              <w:jc w:val="center"/>
              <w:rPr>
                <w:rFonts w:ascii="仿宋" w:eastAsia="仿宋" w:hAnsi="仿宋" w:cs="仿宋"/>
                <w:color w:val="FF0000"/>
                <w:sz w:val="24"/>
              </w:rPr>
            </w:pPr>
            <w:r>
              <w:rPr>
                <w:rFonts w:ascii="仿宋" w:eastAsia="仿宋" w:hAnsi="仿宋" w:cs="仿宋" w:hint="eastAsia"/>
                <w:sz w:val="24"/>
              </w:rPr>
              <w:t>人</w:t>
            </w:r>
          </w:p>
        </w:tc>
      </w:tr>
      <w:tr w:rsidR="00C67967" w14:paraId="6F94A4F6" w14:textId="77777777" w:rsidTr="00417E68">
        <w:trPr>
          <w:trHeight w:val="390"/>
          <w:jc w:val="center"/>
        </w:trPr>
        <w:tc>
          <w:tcPr>
            <w:tcW w:w="447" w:type="pct"/>
          </w:tcPr>
          <w:p w14:paraId="14EE78F6" w14:textId="77777777" w:rsidR="00C67967" w:rsidRDefault="00C67967" w:rsidP="00417E68">
            <w:pPr>
              <w:widowControl/>
              <w:spacing w:line="360" w:lineRule="auto"/>
              <w:jc w:val="center"/>
              <w:rPr>
                <w:rFonts w:ascii="仿宋" w:eastAsia="仿宋" w:hAnsi="仿宋" w:cs="仿宋"/>
                <w:sz w:val="24"/>
              </w:rPr>
            </w:pPr>
            <w:r>
              <w:rPr>
                <w:rFonts w:ascii="仿宋" w:eastAsia="仿宋" w:hAnsi="仿宋" w:cs="仿宋" w:hint="eastAsia"/>
                <w:sz w:val="24"/>
              </w:rPr>
              <w:t>2</w:t>
            </w:r>
          </w:p>
        </w:tc>
        <w:tc>
          <w:tcPr>
            <w:tcW w:w="2503" w:type="pct"/>
          </w:tcPr>
          <w:p w14:paraId="1BA321E1" w14:textId="77777777" w:rsidR="00C67967" w:rsidRDefault="00C67967" w:rsidP="00417E68">
            <w:pPr>
              <w:widowControl/>
              <w:spacing w:line="360" w:lineRule="auto"/>
              <w:jc w:val="center"/>
              <w:rPr>
                <w:rFonts w:ascii="仿宋" w:eastAsia="仿宋" w:hAnsi="仿宋" w:cs="仿宋"/>
                <w:sz w:val="24"/>
              </w:rPr>
            </w:pPr>
            <w:r>
              <w:rPr>
                <w:rFonts w:ascii="仿宋" w:eastAsia="仿宋" w:hAnsi="仿宋" w:cs="仿宋" w:hint="eastAsia"/>
                <w:sz w:val="24"/>
              </w:rPr>
              <w:t>硬件维修费</w:t>
            </w:r>
          </w:p>
        </w:tc>
        <w:tc>
          <w:tcPr>
            <w:tcW w:w="1088" w:type="pct"/>
          </w:tcPr>
          <w:p w14:paraId="5C57642B" w14:textId="77777777" w:rsidR="00C67967" w:rsidRDefault="00C67967" w:rsidP="00417E68">
            <w:pPr>
              <w:widowControl/>
              <w:spacing w:line="360" w:lineRule="auto"/>
              <w:jc w:val="center"/>
              <w:rPr>
                <w:rFonts w:ascii="仿宋" w:eastAsia="仿宋" w:hAnsi="仿宋" w:cs="仿宋"/>
                <w:sz w:val="24"/>
              </w:rPr>
            </w:pPr>
            <w:r>
              <w:rPr>
                <w:rFonts w:ascii="仿宋" w:eastAsia="仿宋" w:hAnsi="仿宋" w:cs="仿宋" w:hint="eastAsia"/>
                <w:sz w:val="24"/>
              </w:rPr>
              <w:t>\</w:t>
            </w:r>
          </w:p>
        </w:tc>
        <w:tc>
          <w:tcPr>
            <w:tcW w:w="962" w:type="pct"/>
          </w:tcPr>
          <w:p w14:paraId="1FAA9EA3" w14:textId="77777777" w:rsidR="00C67967" w:rsidRDefault="00C67967" w:rsidP="00417E68">
            <w:pPr>
              <w:widowControl/>
              <w:spacing w:line="360" w:lineRule="auto"/>
              <w:jc w:val="center"/>
              <w:rPr>
                <w:rFonts w:ascii="仿宋" w:eastAsia="仿宋" w:hAnsi="仿宋" w:cs="仿宋"/>
                <w:color w:val="FF0000"/>
                <w:sz w:val="24"/>
              </w:rPr>
            </w:pPr>
            <w:r>
              <w:rPr>
                <w:rFonts w:ascii="仿宋" w:eastAsia="仿宋" w:hAnsi="仿宋" w:cs="仿宋" w:hint="eastAsia"/>
                <w:color w:val="FF0000"/>
                <w:sz w:val="24"/>
              </w:rPr>
              <w:t>次</w:t>
            </w:r>
          </w:p>
        </w:tc>
      </w:tr>
      <w:tr w:rsidR="00C67967" w14:paraId="020ED97B" w14:textId="77777777" w:rsidTr="00417E68">
        <w:trPr>
          <w:trHeight w:val="390"/>
          <w:jc w:val="center"/>
        </w:trPr>
        <w:tc>
          <w:tcPr>
            <w:tcW w:w="447" w:type="pct"/>
          </w:tcPr>
          <w:p w14:paraId="348951BA" w14:textId="77777777" w:rsidR="00C67967" w:rsidRDefault="00C67967" w:rsidP="00417E68">
            <w:pPr>
              <w:widowControl/>
              <w:spacing w:line="360" w:lineRule="auto"/>
              <w:jc w:val="center"/>
              <w:rPr>
                <w:rFonts w:ascii="仿宋" w:eastAsia="仿宋" w:hAnsi="仿宋" w:cs="仿宋"/>
                <w:sz w:val="24"/>
              </w:rPr>
            </w:pPr>
            <w:r>
              <w:rPr>
                <w:rFonts w:ascii="仿宋" w:eastAsia="仿宋" w:hAnsi="仿宋" w:cs="仿宋" w:hint="eastAsia"/>
                <w:sz w:val="24"/>
              </w:rPr>
              <w:t>3</w:t>
            </w:r>
          </w:p>
        </w:tc>
        <w:tc>
          <w:tcPr>
            <w:tcW w:w="2503" w:type="pct"/>
          </w:tcPr>
          <w:p w14:paraId="131116D4" w14:textId="77777777" w:rsidR="00C67967" w:rsidRDefault="00C67967" w:rsidP="00417E68">
            <w:pPr>
              <w:pStyle w:val="ab"/>
              <w:spacing w:line="360" w:lineRule="auto"/>
              <w:ind w:firstLineChars="0" w:firstLine="0"/>
              <w:jc w:val="center"/>
              <w:rPr>
                <w:rFonts w:ascii="仿宋" w:eastAsia="仿宋" w:hAnsi="仿宋" w:cs="仿宋"/>
                <w:bCs/>
                <w:sz w:val="24"/>
              </w:rPr>
            </w:pPr>
            <w:r>
              <w:rPr>
                <w:rFonts w:ascii="仿宋" w:eastAsia="仿宋" w:hAnsi="仿宋" w:cs="仿宋" w:hint="eastAsia"/>
                <w:bCs/>
                <w:sz w:val="24"/>
              </w:rPr>
              <w:t>送修服务</w:t>
            </w:r>
          </w:p>
        </w:tc>
        <w:tc>
          <w:tcPr>
            <w:tcW w:w="1088" w:type="pct"/>
          </w:tcPr>
          <w:p w14:paraId="11A576B8" w14:textId="77777777" w:rsidR="00C67967" w:rsidRDefault="00C67967" w:rsidP="00417E68">
            <w:pPr>
              <w:pStyle w:val="ab"/>
              <w:spacing w:line="360" w:lineRule="auto"/>
              <w:ind w:firstLineChars="0" w:firstLine="0"/>
              <w:jc w:val="center"/>
              <w:rPr>
                <w:rFonts w:ascii="仿宋" w:eastAsia="仿宋" w:hAnsi="仿宋" w:cs="仿宋"/>
                <w:bCs/>
                <w:sz w:val="24"/>
              </w:rPr>
            </w:pPr>
            <w:r>
              <w:rPr>
                <w:rFonts w:ascii="仿宋" w:eastAsia="仿宋" w:hAnsi="仿宋" w:cs="仿宋" w:hint="eastAsia"/>
                <w:bCs/>
                <w:sz w:val="24"/>
              </w:rPr>
              <w:t>\</w:t>
            </w:r>
          </w:p>
        </w:tc>
        <w:tc>
          <w:tcPr>
            <w:tcW w:w="962" w:type="pct"/>
          </w:tcPr>
          <w:p w14:paraId="13C8310F" w14:textId="77777777" w:rsidR="00C67967" w:rsidRDefault="00C67967" w:rsidP="00417E68">
            <w:pPr>
              <w:pStyle w:val="ab"/>
              <w:spacing w:line="360" w:lineRule="auto"/>
              <w:ind w:firstLineChars="0" w:firstLine="0"/>
              <w:jc w:val="center"/>
              <w:rPr>
                <w:rFonts w:ascii="仿宋" w:eastAsia="仿宋" w:hAnsi="仿宋" w:cs="仿宋"/>
                <w:bCs/>
                <w:color w:val="FF0000"/>
                <w:sz w:val="24"/>
              </w:rPr>
            </w:pPr>
            <w:r>
              <w:rPr>
                <w:rFonts w:ascii="仿宋" w:eastAsia="仿宋" w:hAnsi="仿宋" w:cs="仿宋" w:hint="eastAsia"/>
                <w:sz w:val="24"/>
              </w:rPr>
              <w:t>次</w:t>
            </w:r>
          </w:p>
        </w:tc>
      </w:tr>
      <w:tr w:rsidR="00C67967" w14:paraId="68B3CAF1" w14:textId="77777777" w:rsidTr="00417E68">
        <w:trPr>
          <w:trHeight w:val="390"/>
          <w:jc w:val="center"/>
        </w:trPr>
        <w:tc>
          <w:tcPr>
            <w:tcW w:w="447" w:type="pct"/>
          </w:tcPr>
          <w:p w14:paraId="0EB9ECAC" w14:textId="77777777" w:rsidR="00C67967" w:rsidRDefault="00C67967" w:rsidP="00417E68">
            <w:pPr>
              <w:widowControl/>
              <w:spacing w:line="360" w:lineRule="auto"/>
              <w:jc w:val="center"/>
              <w:rPr>
                <w:rFonts w:ascii="仿宋" w:eastAsia="仿宋" w:hAnsi="仿宋" w:cs="仿宋"/>
                <w:sz w:val="24"/>
              </w:rPr>
            </w:pPr>
            <w:r>
              <w:rPr>
                <w:rFonts w:ascii="仿宋" w:eastAsia="仿宋" w:hAnsi="仿宋" w:cs="仿宋" w:hint="eastAsia"/>
                <w:sz w:val="24"/>
              </w:rPr>
              <w:t>4</w:t>
            </w:r>
          </w:p>
        </w:tc>
        <w:tc>
          <w:tcPr>
            <w:tcW w:w="2503" w:type="pct"/>
          </w:tcPr>
          <w:p w14:paraId="0DB943AD" w14:textId="77777777" w:rsidR="00C67967" w:rsidRDefault="00C67967" w:rsidP="00417E68">
            <w:pPr>
              <w:pStyle w:val="ab"/>
              <w:spacing w:line="360" w:lineRule="auto"/>
              <w:ind w:firstLineChars="0" w:firstLine="0"/>
              <w:jc w:val="center"/>
              <w:rPr>
                <w:rFonts w:ascii="仿宋" w:eastAsia="仿宋" w:hAnsi="仿宋" w:cs="仿宋"/>
                <w:bCs/>
                <w:sz w:val="24"/>
              </w:rPr>
            </w:pPr>
            <w:r>
              <w:rPr>
                <w:rFonts w:ascii="仿宋" w:eastAsia="仿宋" w:hAnsi="仿宋" w:cs="仿宋" w:hint="eastAsia"/>
                <w:bCs/>
                <w:sz w:val="24"/>
              </w:rPr>
              <w:t>网络布线</w:t>
            </w:r>
          </w:p>
        </w:tc>
        <w:tc>
          <w:tcPr>
            <w:tcW w:w="1088" w:type="pct"/>
          </w:tcPr>
          <w:p w14:paraId="17660F61" w14:textId="77777777" w:rsidR="00C67967" w:rsidRDefault="00C67967" w:rsidP="00417E68">
            <w:pPr>
              <w:pStyle w:val="ab"/>
              <w:spacing w:line="360" w:lineRule="auto"/>
              <w:ind w:firstLineChars="0" w:firstLine="0"/>
              <w:jc w:val="center"/>
              <w:rPr>
                <w:rFonts w:ascii="仿宋" w:eastAsia="仿宋" w:hAnsi="仿宋" w:cs="仿宋"/>
                <w:bCs/>
                <w:sz w:val="24"/>
              </w:rPr>
            </w:pPr>
            <w:r>
              <w:rPr>
                <w:rFonts w:ascii="仿宋" w:eastAsia="仿宋" w:hAnsi="仿宋" w:cs="仿宋" w:hint="eastAsia"/>
                <w:bCs/>
                <w:sz w:val="24"/>
              </w:rPr>
              <w:t>\</w:t>
            </w:r>
          </w:p>
        </w:tc>
        <w:tc>
          <w:tcPr>
            <w:tcW w:w="962" w:type="pct"/>
          </w:tcPr>
          <w:p w14:paraId="4168B350" w14:textId="77777777" w:rsidR="00C67967" w:rsidRDefault="00C67967" w:rsidP="00417E68">
            <w:pPr>
              <w:pStyle w:val="ab"/>
              <w:spacing w:line="360" w:lineRule="auto"/>
              <w:ind w:firstLineChars="0" w:firstLine="0"/>
              <w:jc w:val="center"/>
              <w:rPr>
                <w:rFonts w:ascii="仿宋" w:eastAsia="仿宋" w:hAnsi="仿宋" w:cs="仿宋"/>
                <w:sz w:val="24"/>
              </w:rPr>
            </w:pPr>
            <w:r>
              <w:rPr>
                <w:rFonts w:ascii="仿宋" w:eastAsia="仿宋" w:hAnsi="仿宋" w:cs="仿宋" w:hint="eastAsia"/>
                <w:sz w:val="24"/>
              </w:rPr>
              <w:t>米</w:t>
            </w:r>
          </w:p>
        </w:tc>
      </w:tr>
      <w:tr w:rsidR="00C67967" w14:paraId="4FCAC867" w14:textId="77777777" w:rsidTr="00417E68">
        <w:trPr>
          <w:trHeight w:val="390"/>
          <w:jc w:val="center"/>
        </w:trPr>
        <w:tc>
          <w:tcPr>
            <w:tcW w:w="447" w:type="pct"/>
          </w:tcPr>
          <w:p w14:paraId="547D794F" w14:textId="77777777" w:rsidR="00C67967" w:rsidRDefault="00C67967" w:rsidP="00417E68">
            <w:pPr>
              <w:widowControl/>
              <w:spacing w:line="360" w:lineRule="auto"/>
              <w:jc w:val="center"/>
              <w:rPr>
                <w:rFonts w:ascii="仿宋" w:eastAsia="仿宋" w:hAnsi="仿宋" w:cs="仿宋"/>
                <w:sz w:val="24"/>
              </w:rPr>
            </w:pPr>
            <w:r>
              <w:rPr>
                <w:rFonts w:ascii="仿宋" w:eastAsia="仿宋" w:hAnsi="仿宋" w:cs="仿宋" w:hint="eastAsia"/>
                <w:sz w:val="24"/>
              </w:rPr>
              <w:t>5</w:t>
            </w:r>
          </w:p>
        </w:tc>
        <w:tc>
          <w:tcPr>
            <w:tcW w:w="2503" w:type="pct"/>
          </w:tcPr>
          <w:p w14:paraId="6CA3ABE8" w14:textId="77777777" w:rsidR="00C67967" w:rsidRDefault="00C67967" w:rsidP="00417E68">
            <w:pPr>
              <w:pStyle w:val="ab"/>
              <w:spacing w:line="360" w:lineRule="auto"/>
              <w:ind w:firstLineChars="0" w:firstLine="0"/>
              <w:jc w:val="center"/>
              <w:rPr>
                <w:rFonts w:ascii="仿宋" w:eastAsia="仿宋" w:hAnsi="仿宋" w:cs="仿宋"/>
                <w:bCs/>
                <w:sz w:val="24"/>
              </w:rPr>
            </w:pPr>
            <w:r>
              <w:rPr>
                <w:rFonts w:ascii="仿宋" w:eastAsia="仿宋" w:hAnsi="仿宋" w:cs="仿宋" w:hint="eastAsia"/>
                <w:bCs/>
                <w:sz w:val="24"/>
              </w:rPr>
              <w:t>临时派驻技术人员</w:t>
            </w:r>
          </w:p>
        </w:tc>
        <w:tc>
          <w:tcPr>
            <w:tcW w:w="1088" w:type="pct"/>
          </w:tcPr>
          <w:p w14:paraId="5E06C5CF" w14:textId="77777777" w:rsidR="00C67967" w:rsidRDefault="00C67967" w:rsidP="00417E68">
            <w:pPr>
              <w:pStyle w:val="ab"/>
              <w:spacing w:line="360" w:lineRule="auto"/>
              <w:ind w:firstLineChars="0" w:firstLine="0"/>
              <w:jc w:val="center"/>
              <w:rPr>
                <w:rFonts w:ascii="仿宋" w:eastAsia="仿宋" w:hAnsi="仿宋" w:cs="仿宋"/>
                <w:bCs/>
                <w:sz w:val="24"/>
              </w:rPr>
            </w:pPr>
            <w:r>
              <w:rPr>
                <w:rFonts w:ascii="仿宋" w:eastAsia="仿宋" w:hAnsi="仿宋" w:cs="仿宋" w:hint="eastAsia"/>
                <w:bCs/>
                <w:sz w:val="24"/>
              </w:rPr>
              <w:t>\</w:t>
            </w:r>
          </w:p>
        </w:tc>
        <w:tc>
          <w:tcPr>
            <w:tcW w:w="962" w:type="pct"/>
          </w:tcPr>
          <w:p w14:paraId="44DF9102" w14:textId="77777777" w:rsidR="00C67967" w:rsidRDefault="00C67967" w:rsidP="00417E68">
            <w:pPr>
              <w:pStyle w:val="ab"/>
              <w:spacing w:line="360" w:lineRule="auto"/>
              <w:ind w:firstLineChars="0" w:firstLine="0"/>
              <w:jc w:val="center"/>
              <w:rPr>
                <w:rFonts w:ascii="仿宋" w:eastAsia="仿宋" w:hAnsi="仿宋" w:cs="仿宋"/>
                <w:sz w:val="24"/>
              </w:rPr>
            </w:pPr>
            <w:r>
              <w:rPr>
                <w:rFonts w:ascii="仿宋" w:eastAsia="仿宋" w:hAnsi="仿宋" w:cs="仿宋" w:hint="eastAsia"/>
                <w:sz w:val="24"/>
              </w:rPr>
              <w:t>次</w:t>
            </w:r>
          </w:p>
        </w:tc>
      </w:tr>
    </w:tbl>
    <w:p w14:paraId="3176E69E" w14:textId="77777777" w:rsidR="00C67967" w:rsidRDefault="00C67967" w:rsidP="00C67967">
      <w:pPr>
        <w:widowControl/>
        <w:spacing w:line="360" w:lineRule="auto"/>
        <w:ind w:firstLineChars="200" w:firstLine="482"/>
        <w:rPr>
          <w:rFonts w:ascii="仿宋" w:eastAsia="仿宋" w:hAnsi="仿宋" w:cs="仿宋"/>
          <w:b/>
          <w:bCs/>
          <w:sz w:val="24"/>
        </w:rPr>
      </w:pPr>
      <w:bookmarkStart w:id="4" w:name="_Toc7657"/>
      <w:bookmarkStart w:id="5" w:name="_Toc11720"/>
      <w:bookmarkStart w:id="6" w:name="_Toc10246"/>
      <w:r>
        <w:rPr>
          <w:rFonts w:ascii="仿宋" w:eastAsia="仿宋" w:hAnsi="仿宋" w:cs="仿宋" w:hint="eastAsia"/>
          <w:b/>
          <w:bCs/>
          <w:sz w:val="24"/>
        </w:rPr>
        <w:t>注：投标人为采购单位硬件产品提供一般的维护服务。</w:t>
      </w:r>
    </w:p>
    <w:bookmarkEnd w:id="4"/>
    <w:p w14:paraId="397A1503" w14:textId="77777777" w:rsidR="00C67967" w:rsidRDefault="00C67967" w:rsidP="00C67967">
      <w:pPr>
        <w:spacing w:line="360" w:lineRule="auto"/>
        <w:ind w:firstLineChars="200" w:firstLine="562"/>
        <w:jc w:val="left"/>
        <w:outlineLvl w:val="1"/>
        <w:rPr>
          <w:rFonts w:ascii="仿宋" w:eastAsia="仿宋" w:hAnsi="仿宋" w:cs="仿宋"/>
          <w:b/>
          <w:bCs/>
          <w:sz w:val="28"/>
          <w:szCs w:val="28"/>
        </w:rPr>
      </w:pPr>
      <w:r>
        <w:rPr>
          <w:rFonts w:ascii="仿宋" w:eastAsia="仿宋" w:hAnsi="仿宋" w:cs="仿宋" w:hint="eastAsia"/>
          <w:b/>
          <w:bCs/>
          <w:sz w:val="28"/>
          <w:szCs w:val="28"/>
        </w:rPr>
        <w:t>2.2 服务要求</w:t>
      </w:r>
    </w:p>
    <w:p w14:paraId="1B84F739" w14:textId="77777777" w:rsidR="00C67967" w:rsidRDefault="00C67967" w:rsidP="00C67967">
      <w:pPr>
        <w:spacing w:line="360" w:lineRule="auto"/>
        <w:ind w:firstLineChars="200" w:firstLine="482"/>
        <w:jc w:val="left"/>
        <w:rPr>
          <w:rFonts w:ascii="仿宋" w:eastAsia="仿宋" w:hAnsi="仿宋" w:cs="仿宋"/>
          <w:b/>
          <w:bCs/>
          <w:sz w:val="24"/>
        </w:rPr>
      </w:pPr>
      <w:r>
        <w:rPr>
          <w:rFonts w:ascii="仿宋" w:eastAsia="仿宋" w:hAnsi="仿宋" w:cs="仿宋" w:hint="eastAsia"/>
          <w:b/>
          <w:bCs/>
          <w:sz w:val="24"/>
        </w:rPr>
        <w:t>（一）维护技术要求</w:t>
      </w:r>
    </w:p>
    <w:p w14:paraId="570D0518" w14:textId="77777777" w:rsidR="00C67967" w:rsidRDefault="00C67967" w:rsidP="00C67967">
      <w:pPr>
        <w:spacing w:line="360" w:lineRule="auto"/>
        <w:ind w:firstLineChars="300" w:firstLine="720"/>
        <w:jc w:val="left"/>
        <w:rPr>
          <w:rFonts w:ascii="仿宋" w:eastAsia="仿宋" w:hAnsi="仿宋" w:cs="仿宋"/>
          <w:sz w:val="24"/>
        </w:rPr>
      </w:pPr>
      <w:r>
        <w:rPr>
          <w:rFonts w:ascii="仿宋" w:eastAsia="仿宋" w:hAnsi="仿宋" w:cs="仿宋" w:hint="eastAsia"/>
          <w:sz w:val="24"/>
        </w:rPr>
        <w:t>1、现场维护技术人员要求</w:t>
      </w:r>
    </w:p>
    <w:p w14:paraId="29895D2F" w14:textId="77777777" w:rsidR="00C67967" w:rsidRDefault="00C67967" w:rsidP="00C67967">
      <w:pPr>
        <w:spacing w:line="360" w:lineRule="auto"/>
        <w:ind w:firstLineChars="300" w:firstLine="720"/>
        <w:jc w:val="left"/>
        <w:rPr>
          <w:rFonts w:ascii="仿宋" w:eastAsia="仿宋" w:hAnsi="仿宋" w:cs="仿宋"/>
          <w:sz w:val="24"/>
        </w:rPr>
      </w:pPr>
      <w:r>
        <w:rPr>
          <w:rFonts w:ascii="仿宋" w:eastAsia="仿宋" w:hAnsi="仿宋" w:cs="仿宋" w:hint="eastAsia"/>
          <w:sz w:val="24"/>
        </w:rPr>
        <w:t>1.1投标人需安排技术服务人员在采购单位提供以下服务；计算机、外设、维护要求投标人在接到采购人电话通知15分钟内到达现场。遇重大突发事件时，如自然灾害、公卫疫情等，要求服从医院工作时间及工作安排，因工作产生的加班费、差旅费等由投标人支付。</w:t>
      </w:r>
    </w:p>
    <w:p w14:paraId="15C8AA65" w14:textId="77777777" w:rsidR="00C67967" w:rsidRDefault="00C67967" w:rsidP="00C67967">
      <w:pPr>
        <w:spacing w:line="360" w:lineRule="auto"/>
        <w:ind w:firstLineChars="200" w:firstLine="480"/>
        <w:jc w:val="left"/>
        <w:rPr>
          <w:rFonts w:ascii="仿宋" w:eastAsia="仿宋" w:hAnsi="仿宋" w:cs="仿宋"/>
          <w:sz w:val="24"/>
        </w:rPr>
      </w:pPr>
      <w:r>
        <w:rPr>
          <w:rFonts w:ascii="仿宋" w:eastAsia="仿宋" w:hAnsi="仿宋" w:cs="仿宋" w:hint="eastAsia"/>
          <w:sz w:val="24"/>
        </w:rPr>
        <w:t>1.2技术维护人员要求；（1）需熟悉省、市医保软件硬件环境，能排除医保软件硬件故障，能完成医保业务日常软硬件维护；（2）熟悉医院H</w:t>
      </w:r>
      <w:r>
        <w:rPr>
          <w:rFonts w:ascii="仿宋" w:eastAsia="仿宋" w:hAnsi="仿宋" w:cs="仿宋"/>
          <w:sz w:val="24"/>
        </w:rPr>
        <w:t>IS</w:t>
      </w:r>
      <w:r>
        <w:rPr>
          <w:rFonts w:ascii="仿宋" w:eastAsia="仿宋" w:hAnsi="仿宋" w:cs="仿宋" w:hint="eastAsia"/>
          <w:sz w:val="24"/>
        </w:rPr>
        <w:t>的常规问题点解决和维护；（</w:t>
      </w:r>
      <w:r>
        <w:rPr>
          <w:rFonts w:ascii="仿宋" w:eastAsia="仿宋" w:hAnsi="仿宋" w:cs="仿宋"/>
          <w:sz w:val="24"/>
        </w:rPr>
        <w:t>3</w:t>
      </w:r>
      <w:r>
        <w:rPr>
          <w:rFonts w:ascii="仿宋" w:eastAsia="仿宋" w:hAnsi="仿宋" w:cs="仿宋" w:hint="eastAsia"/>
          <w:sz w:val="24"/>
        </w:rPr>
        <w:t>）能完成PCAS桌面端 (影像工作站、预约系统、分诊系统等)</w:t>
      </w:r>
      <w:r>
        <w:rPr>
          <w:rFonts w:ascii="仿宋" w:eastAsia="仿宋" w:hAnsi="仿宋" w:cs="仿宋" w:hint="eastAsia"/>
          <w:sz w:val="24"/>
        </w:rPr>
        <w:lastRenderedPageBreak/>
        <w:t>的使用及维护，能完成PACS服务器端维护及故障解决，能完成PACS软件各种图片传输服务；（</w:t>
      </w:r>
      <w:r>
        <w:rPr>
          <w:rFonts w:ascii="仿宋" w:eastAsia="仿宋" w:hAnsi="仿宋" w:cs="仿宋"/>
          <w:sz w:val="24"/>
        </w:rPr>
        <w:t>4</w:t>
      </w:r>
      <w:r>
        <w:rPr>
          <w:rFonts w:ascii="仿宋" w:eastAsia="仿宋" w:hAnsi="仿宋" w:cs="仿宋" w:hint="eastAsia"/>
          <w:sz w:val="24"/>
        </w:rPr>
        <w:t>）熟悉医院网络拓扑图，能通过检查网线、网络连接点、网卡、服务器以及集线器、交换机等网络设备找出故障点给予排除（</w:t>
      </w:r>
      <w:r>
        <w:rPr>
          <w:rFonts w:ascii="仿宋" w:eastAsia="仿宋" w:hAnsi="仿宋" w:cs="仿宋"/>
          <w:sz w:val="24"/>
        </w:rPr>
        <w:t>5</w:t>
      </w:r>
      <w:r>
        <w:rPr>
          <w:rFonts w:ascii="仿宋" w:eastAsia="仿宋" w:hAnsi="仿宋" w:cs="仿宋" w:hint="eastAsia"/>
          <w:sz w:val="24"/>
        </w:rPr>
        <w:t>）熟悉医院常见各类型终端及外设的配置，能完成各类型医疗专业软件的安装及调试，能完成各类激光、喷墨、热敏、针式等打印机和复印机及各种外设的维护和维修。</w:t>
      </w:r>
    </w:p>
    <w:p w14:paraId="4E3DA1C2" w14:textId="77777777" w:rsidR="00C67967" w:rsidRDefault="00C67967" w:rsidP="00C67967">
      <w:pPr>
        <w:pStyle w:val="ac"/>
        <w:ind w:firstLineChars="200" w:firstLine="420"/>
      </w:pPr>
      <w:r>
        <w:rPr>
          <w:rFonts w:hint="eastAsia"/>
        </w:rPr>
        <w:t xml:space="preserve">1.3 </w:t>
      </w:r>
      <w:r>
        <w:rPr>
          <w:rFonts w:hint="eastAsia"/>
        </w:rPr>
        <w:t>提供资料中应包含技术人员名单和工作经历简介。</w:t>
      </w:r>
    </w:p>
    <w:p w14:paraId="2D736ABE" w14:textId="77777777" w:rsidR="00C67967" w:rsidRDefault="00C67967" w:rsidP="00C67967">
      <w:pPr>
        <w:spacing w:line="360" w:lineRule="auto"/>
        <w:ind w:firstLineChars="200" w:firstLine="480"/>
        <w:jc w:val="left"/>
        <w:rPr>
          <w:rFonts w:ascii="仿宋" w:eastAsia="仿宋" w:hAnsi="仿宋" w:cs="仿宋"/>
          <w:sz w:val="24"/>
        </w:rPr>
      </w:pPr>
      <w:r>
        <w:rPr>
          <w:rFonts w:ascii="仿宋" w:eastAsia="仿宋" w:hAnsi="仿宋" w:cs="仿宋" w:hint="eastAsia"/>
          <w:sz w:val="24"/>
        </w:rPr>
        <w:t>2、硬件维修：</w:t>
      </w:r>
    </w:p>
    <w:p w14:paraId="3FD2B7A4" w14:textId="77777777" w:rsidR="00C67967" w:rsidRDefault="00C67967" w:rsidP="00C67967">
      <w:pPr>
        <w:pStyle w:val="ac"/>
      </w:pPr>
      <w:r>
        <w:rPr>
          <w:rFonts w:hint="eastAsia"/>
        </w:rPr>
        <w:t xml:space="preserve">2.1 </w:t>
      </w:r>
      <w:r>
        <w:rPr>
          <w:rFonts w:hint="eastAsia"/>
        </w:rPr>
        <w:t>投标人需要在精医中心常备各种电脑、打印机易损坏配件，维修完成前供相关科室使用。</w:t>
      </w:r>
    </w:p>
    <w:p w14:paraId="11DBE666" w14:textId="77777777" w:rsidR="00C67967" w:rsidRDefault="00C67967" w:rsidP="00C67967">
      <w:pPr>
        <w:pStyle w:val="ad"/>
        <w:ind w:firstLineChars="0" w:firstLine="0"/>
      </w:pPr>
      <w:r>
        <w:rPr>
          <w:rFonts w:hint="eastAsia"/>
        </w:rPr>
        <w:t xml:space="preserve">2.2 </w:t>
      </w:r>
      <w:r>
        <w:rPr>
          <w:rFonts w:hint="eastAsia"/>
        </w:rPr>
        <w:t>投标人需提供硬件维修费用报价。注明电脑主板、硬盘、端口、各种线材、打印机配件等维修单价。维修价格不得高于过保后的原厂售后价格，配件价格不得高于京东直营店售价。</w:t>
      </w:r>
    </w:p>
    <w:p w14:paraId="3C228609" w14:textId="77777777" w:rsidR="00C67967" w:rsidRDefault="00C67967" w:rsidP="00C67967">
      <w:pPr>
        <w:pStyle w:val="ad"/>
        <w:ind w:firstLineChars="0" w:firstLine="0"/>
      </w:pPr>
      <w:r>
        <w:rPr>
          <w:rFonts w:hint="eastAsia"/>
        </w:rPr>
        <w:t xml:space="preserve">     3</w:t>
      </w:r>
      <w:r>
        <w:rPr>
          <w:rFonts w:hint="eastAsia"/>
        </w:rPr>
        <w:t>、送修服务</w:t>
      </w:r>
    </w:p>
    <w:p w14:paraId="137CDCD7" w14:textId="77777777" w:rsidR="00C67967" w:rsidRDefault="00C67967" w:rsidP="00C67967">
      <w:pPr>
        <w:pStyle w:val="ad"/>
        <w:ind w:firstLineChars="0" w:firstLine="0"/>
      </w:pPr>
      <w:r>
        <w:rPr>
          <w:rFonts w:hint="eastAsia"/>
        </w:rPr>
        <w:t>中心信息设备中还在维保期内故障的，需要投标人提供送修服务，送修取回保证资产安全，保密。</w:t>
      </w:r>
    </w:p>
    <w:p w14:paraId="3830E837" w14:textId="77777777" w:rsidR="00C67967" w:rsidRDefault="00C67967" w:rsidP="00C67967">
      <w:pPr>
        <w:pStyle w:val="ad"/>
        <w:ind w:firstLineChars="0" w:firstLine="0"/>
      </w:pPr>
      <w:r>
        <w:rPr>
          <w:rFonts w:hint="eastAsia"/>
        </w:rPr>
        <w:t xml:space="preserve">     4</w:t>
      </w:r>
      <w:r>
        <w:rPr>
          <w:rFonts w:hint="eastAsia"/>
        </w:rPr>
        <w:t>、投标人提供网络布线每米（穿管）报价清单。</w:t>
      </w:r>
    </w:p>
    <w:p w14:paraId="47496417" w14:textId="77777777" w:rsidR="00C67967" w:rsidRDefault="00C67967" w:rsidP="00C67967">
      <w:pPr>
        <w:pStyle w:val="ad"/>
        <w:ind w:firstLineChars="0" w:firstLine="0"/>
      </w:pPr>
      <w:r>
        <w:rPr>
          <w:rFonts w:hint="eastAsia"/>
        </w:rPr>
        <w:t xml:space="preserve">     5</w:t>
      </w:r>
      <w:r>
        <w:rPr>
          <w:rFonts w:hint="eastAsia"/>
        </w:rPr>
        <w:t>、投标人提供临时派驻技术人员执行办公设备批量紧急安装或弱电线路调整或需要特定专业人员进场维修等任务，信息技术人员按每人</w:t>
      </w:r>
      <w:r>
        <w:rPr>
          <w:rFonts w:hint="eastAsia"/>
        </w:rPr>
        <w:t>/</w:t>
      </w:r>
      <w:r>
        <w:rPr>
          <w:rFonts w:hint="eastAsia"/>
        </w:rPr>
        <w:t>小时报价，按用工时间计费。</w:t>
      </w:r>
    </w:p>
    <w:p w14:paraId="6591A596" w14:textId="77777777" w:rsidR="00C67967" w:rsidRDefault="00C67967" w:rsidP="00C67967">
      <w:pPr>
        <w:pStyle w:val="ad"/>
        <w:ind w:firstLineChars="0" w:firstLine="0"/>
      </w:pPr>
    </w:p>
    <w:p w14:paraId="1F8A6687" w14:textId="77777777" w:rsidR="00C67967" w:rsidRDefault="00C67967" w:rsidP="00C67967">
      <w:pPr>
        <w:spacing w:line="360" w:lineRule="auto"/>
        <w:ind w:firstLineChars="200" w:firstLine="480"/>
        <w:jc w:val="left"/>
        <w:rPr>
          <w:rFonts w:ascii="仿宋" w:eastAsia="仿宋" w:hAnsi="仿宋" w:cs="仿宋"/>
          <w:sz w:val="24"/>
        </w:rPr>
      </w:pPr>
      <w:r>
        <w:rPr>
          <w:rFonts w:ascii="仿宋" w:eastAsia="仿宋" w:hAnsi="仿宋" w:cs="仿宋" w:hint="eastAsia"/>
          <w:sz w:val="24"/>
        </w:rPr>
        <w:t>6、 须具备完整服务体系，确保维保服务工作顺利完成。详细说明投标人服务体系、服务流程提供相关证明材料。</w:t>
      </w:r>
    </w:p>
    <w:p w14:paraId="1B8C0643" w14:textId="77777777" w:rsidR="00C67967" w:rsidRDefault="00C67967" w:rsidP="00C67967">
      <w:pPr>
        <w:spacing w:line="360" w:lineRule="auto"/>
        <w:ind w:firstLineChars="200" w:firstLine="480"/>
        <w:jc w:val="left"/>
        <w:rPr>
          <w:rFonts w:ascii="仿宋" w:eastAsia="仿宋" w:hAnsi="仿宋" w:cs="仿宋"/>
          <w:sz w:val="24"/>
        </w:rPr>
      </w:pPr>
      <w:r>
        <w:rPr>
          <w:rFonts w:ascii="仿宋" w:eastAsia="仿宋" w:hAnsi="仿宋" w:cs="仿宋" w:hint="eastAsia"/>
          <w:sz w:val="24"/>
        </w:rPr>
        <w:t>7、须具有经验丰富的技术服务人员，为采购人提供硬件设备维修、维护等服务，确保高质量的人员检修能力、服务响应的及时性、处理故障的高效性，详细说明服务人员的技术情况。</w:t>
      </w:r>
    </w:p>
    <w:p w14:paraId="65D8FB2D" w14:textId="77777777" w:rsidR="00C67967" w:rsidRDefault="00C67967" w:rsidP="00C67967">
      <w:pPr>
        <w:spacing w:line="360" w:lineRule="auto"/>
        <w:ind w:firstLineChars="200" w:firstLine="480"/>
        <w:jc w:val="left"/>
        <w:rPr>
          <w:rFonts w:ascii="仿宋" w:eastAsia="仿宋" w:hAnsi="仿宋" w:cs="仿宋"/>
          <w:sz w:val="24"/>
        </w:rPr>
      </w:pPr>
      <w:r>
        <w:rPr>
          <w:rFonts w:ascii="仿宋" w:eastAsia="仿宋" w:hAnsi="仿宋" w:cs="仿宋" w:hint="eastAsia"/>
          <w:sz w:val="24"/>
        </w:rPr>
        <w:t>8、 明确说明针对本次维保的备件保证措施，提供相应的证明材料。</w:t>
      </w:r>
    </w:p>
    <w:p w14:paraId="5028C816" w14:textId="77777777" w:rsidR="00C67967" w:rsidRDefault="00C67967" w:rsidP="00C67967">
      <w:pPr>
        <w:spacing w:line="360" w:lineRule="auto"/>
        <w:ind w:firstLineChars="200" w:firstLine="480"/>
        <w:jc w:val="left"/>
        <w:rPr>
          <w:rFonts w:ascii="仿宋" w:eastAsia="仿宋" w:hAnsi="仿宋" w:cs="仿宋"/>
          <w:sz w:val="24"/>
        </w:rPr>
      </w:pPr>
      <w:r>
        <w:rPr>
          <w:rFonts w:ascii="仿宋" w:eastAsia="仿宋" w:hAnsi="仿宋" w:cs="仿宋" w:hint="eastAsia"/>
          <w:sz w:val="24"/>
        </w:rPr>
        <w:t>9、 针对本次招标内容提供详细完整的服务方案。应包括服务方式、保障体系、备件保证及响应时间、本地服务机构保证等。</w:t>
      </w:r>
    </w:p>
    <w:p w14:paraId="4790CC8F" w14:textId="77777777" w:rsidR="00C67967" w:rsidRDefault="00C67967" w:rsidP="00C67967">
      <w:pPr>
        <w:spacing w:line="360" w:lineRule="auto"/>
        <w:ind w:firstLineChars="200" w:firstLine="480"/>
        <w:jc w:val="left"/>
        <w:rPr>
          <w:rFonts w:ascii="仿宋" w:eastAsia="仿宋" w:hAnsi="仿宋" w:cs="仿宋"/>
          <w:sz w:val="24"/>
        </w:rPr>
      </w:pPr>
      <w:r>
        <w:rPr>
          <w:rFonts w:ascii="仿宋" w:eastAsia="仿宋" w:hAnsi="仿宋" w:cs="仿宋" w:hint="eastAsia"/>
          <w:sz w:val="24"/>
        </w:rPr>
        <w:t>10、 必须提供及时技术服务、备件服务、现场服务。在成都市设有办事机构。采购人设备出现任何问题和故障，采购人认为有必要投标人技术人员到现场支持时，投标人应按规定要求赶到现场。</w:t>
      </w:r>
    </w:p>
    <w:p w14:paraId="19045841" w14:textId="77777777" w:rsidR="00C67967" w:rsidRDefault="00C67967" w:rsidP="00C67967">
      <w:pPr>
        <w:spacing w:line="360" w:lineRule="auto"/>
        <w:ind w:firstLineChars="200" w:firstLine="480"/>
        <w:jc w:val="left"/>
        <w:rPr>
          <w:rFonts w:ascii="仿宋" w:eastAsia="仿宋" w:hAnsi="仿宋" w:cs="仿宋"/>
          <w:sz w:val="24"/>
        </w:rPr>
      </w:pPr>
      <w:r>
        <w:rPr>
          <w:rFonts w:ascii="仿宋" w:eastAsia="仿宋" w:hAnsi="仿宋" w:cs="仿宋" w:hint="eastAsia"/>
          <w:sz w:val="24"/>
        </w:rPr>
        <w:t>11、 每次巡检和故障处理要做到详细记录、交接明确，并且形成长期的历史数据资料库。</w:t>
      </w:r>
    </w:p>
    <w:p w14:paraId="56BA61F8" w14:textId="77777777" w:rsidR="00C67967" w:rsidRDefault="00C67967" w:rsidP="00C67967">
      <w:pPr>
        <w:spacing w:line="360" w:lineRule="auto"/>
        <w:ind w:firstLineChars="200" w:firstLine="480"/>
        <w:jc w:val="left"/>
        <w:rPr>
          <w:rFonts w:ascii="仿宋" w:eastAsia="仿宋" w:hAnsi="仿宋" w:cs="仿宋"/>
          <w:sz w:val="24"/>
        </w:rPr>
      </w:pPr>
      <w:r>
        <w:rPr>
          <w:rFonts w:ascii="仿宋" w:eastAsia="仿宋" w:hAnsi="仿宋" w:cs="仿宋" w:hint="eastAsia"/>
          <w:sz w:val="24"/>
        </w:rPr>
        <w:t>12、 应急保障服务：配合投标人进行应急处置演练。确保实际发生严重故</w:t>
      </w:r>
      <w:r>
        <w:rPr>
          <w:rFonts w:ascii="仿宋" w:eastAsia="仿宋" w:hAnsi="仿宋" w:cs="仿宋" w:hint="eastAsia"/>
          <w:sz w:val="24"/>
        </w:rPr>
        <w:lastRenderedPageBreak/>
        <w:t>障时，能在最短时间内恢复运行。</w:t>
      </w:r>
    </w:p>
    <w:bookmarkEnd w:id="2"/>
    <w:bookmarkEnd w:id="5"/>
    <w:bookmarkEnd w:id="6"/>
    <w:p w14:paraId="474D5550" w14:textId="77777777" w:rsidR="00C67967" w:rsidRDefault="00C67967" w:rsidP="00C67967">
      <w:pPr>
        <w:spacing w:beforeLines="100" w:before="312" w:line="360" w:lineRule="auto"/>
        <w:ind w:firstLineChars="200" w:firstLine="480"/>
        <w:jc w:val="left"/>
        <w:outlineLvl w:val="1"/>
        <w:rPr>
          <w:rFonts w:ascii="仿宋" w:eastAsia="仿宋" w:hAnsi="仿宋" w:cs="仿宋"/>
          <w:b/>
          <w:bCs/>
          <w:sz w:val="28"/>
          <w:szCs w:val="28"/>
        </w:rPr>
      </w:pPr>
      <w:r>
        <w:rPr>
          <w:rFonts w:ascii="仿宋" w:eastAsia="仿宋" w:hAnsi="仿宋" w:cs="仿宋" w:hint="eastAsia"/>
          <w:bCs/>
          <w:color w:val="000000"/>
          <w:sz w:val="24"/>
        </w:rPr>
        <w:t>13、</w:t>
      </w:r>
      <w:r>
        <w:rPr>
          <w:rFonts w:ascii="仿宋" w:eastAsia="仿宋" w:hAnsi="仿宋" w:cs="仿宋" w:hint="eastAsia"/>
          <w:sz w:val="24"/>
        </w:rPr>
        <w:t xml:space="preserve"> 对各类设备进行维修时，严格按照安全保密规定进行操作，因措施不当造成事故（如被上级部门通报批评等情况），每次在合约中扣罚1000元，并依法追究相关责任人员的法律责任。</w:t>
      </w:r>
    </w:p>
    <w:p w14:paraId="7CCEBF51" w14:textId="77777777" w:rsidR="00C67967" w:rsidRDefault="00C67967" w:rsidP="00C67967">
      <w:pPr>
        <w:spacing w:line="360" w:lineRule="auto"/>
        <w:ind w:firstLineChars="200" w:firstLine="480"/>
        <w:jc w:val="left"/>
        <w:rPr>
          <w:rFonts w:ascii="仿宋" w:eastAsia="仿宋" w:hAnsi="仿宋" w:cs="仿宋"/>
          <w:sz w:val="24"/>
        </w:rPr>
      </w:pPr>
      <w:r>
        <w:rPr>
          <w:rFonts w:ascii="仿宋" w:eastAsia="仿宋" w:hAnsi="仿宋" w:cs="仿宋" w:hint="eastAsia"/>
          <w:bCs/>
          <w:color w:val="000000"/>
          <w:sz w:val="24"/>
        </w:rPr>
        <w:t>14、</w:t>
      </w:r>
      <w:r>
        <w:rPr>
          <w:rFonts w:ascii="仿宋" w:eastAsia="仿宋" w:hAnsi="仿宋" w:cs="仿宋" w:hint="eastAsia"/>
          <w:sz w:val="24"/>
        </w:rPr>
        <w:t xml:space="preserve"> 在维护过程中，因措施不当（设备本身问题除外）导致硬件损坏或数据丢失，造成的损失由维护方负责。</w:t>
      </w:r>
    </w:p>
    <w:p w14:paraId="228E7DCA" w14:textId="77777777" w:rsidR="00C67967" w:rsidRDefault="00C67967" w:rsidP="00C67967">
      <w:pPr>
        <w:spacing w:line="360" w:lineRule="auto"/>
        <w:ind w:firstLineChars="200" w:firstLine="480"/>
        <w:jc w:val="left"/>
        <w:rPr>
          <w:rFonts w:ascii="仿宋" w:eastAsia="仿宋" w:hAnsi="仿宋" w:cs="仿宋"/>
          <w:sz w:val="24"/>
        </w:rPr>
      </w:pPr>
      <w:r>
        <w:rPr>
          <w:rFonts w:ascii="仿宋" w:eastAsia="仿宋" w:hAnsi="仿宋" w:cs="仿宋" w:hint="eastAsia"/>
          <w:bCs/>
          <w:color w:val="000000"/>
          <w:sz w:val="24"/>
        </w:rPr>
        <w:t xml:space="preserve">15、 </w:t>
      </w:r>
      <w:r>
        <w:rPr>
          <w:rFonts w:ascii="仿宋" w:eastAsia="仿宋" w:hAnsi="仿宋" w:cs="仿宋" w:hint="eastAsia"/>
          <w:sz w:val="24"/>
        </w:rPr>
        <w:t>每季度开展一次全院各科室的设备维护巡检，记录巡检情况，并由各科室签字确认，每缺少一个科室巡查情况，在合约中扣罚100元。</w:t>
      </w:r>
    </w:p>
    <w:p w14:paraId="4F7C6F7F" w14:textId="77777777" w:rsidR="00C67967" w:rsidRDefault="00C67967" w:rsidP="00C67967">
      <w:pPr>
        <w:spacing w:line="360" w:lineRule="auto"/>
        <w:ind w:firstLineChars="200" w:firstLine="480"/>
        <w:jc w:val="left"/>
        <w:rPr>
          <w:rFonts w:ascii="仿宋" w:eastAsia="仿宋" w:hAnsi="仿宋" w:cs="仿宋"/>
          <w:sz w:val="24"/>
        </w:rPr>
      </w:pPr>
      <w:r>
        <w:rPr>
          <w:rFonts w:ascii="仿宋" w:eastAsia="仿宋" w:hAnsi="仿宋" w:cs="仿宋" w:hint="eastAsia"/>
          <w:bCs/>
          <w:color w:val="000000"/>
          <w:sz w:val="24"/>
        </w:rPr>
        <w:t>16、</w:t>
      </w:r>
      <w:r>
        <w:rPr>
          <w:rFonts w:ascii="仿宋" w:eastAsia="仿宋" w:hAnsi="仿宋" w:cs="仿宋" w:hint="eastAsia"/>
          <w:sz w:val="24"/>
        </w:rPr>
        <w:t>电话响应服务：全天电话响应（7×24小时，含法定节假日）。</w:t>
      </w:r>
    </w:p>
    <w:p w14:paraId="73CE2F0E" w14:textId="77777777" w:rsidR="00C67967" w:rsidRDefault="00C67967" w:rsidP="00C67967">
      <w:pPr>
        <w:pStyle w:val="a9"/>
        <w:tabs>
          <w:tab w:val="left" w:pos="600"/>
        </w:tabs>
        <w:spacing w:line="360" w:lineRule="auto"/>
        <w:ind w:firstLineChars="200" w:firstLine="480"/>
        <w:rPr>
          <w:rFonts w:ascii="仿宋" w:eastAsia="仿宋" w:hAnsi="仿宋" w:cs="仿宋"/>
          <w:sz w:val="24"/>
        </w:rPr>
      </w:pPr>
      <w:r>
        <w:rPr>
          <w:rFonts w:ascii="仿宋" w:eastAsia="仿宋" w:hAnsi="仿宋" w:cs="仿宋" w:hint="eastAsia"/>
          <w:bCs/>
          <w:color w:val="000000"/>
          <w:sz w:val="24"/>
          <w:szCs w:val="24"/>
        </w:rPr>
        <w:t>17、</w:t>
      </w:r>
      <w:r>
        <w:rPr>
          <w:rFonts w:ascii="仿宋" w:eastAsia="仿宋" w:hAnsi="仿宋" w:cs="仿宋" w:hint="eastAsia"/>
          <w:sz w:val="24"/>
        </w:rPr>
        <w:t xml:space="preserve"> 现场响应服务：对于电话响应不能确认原因的故障，应按要求提供现场支持服务，安排经验丰富的技术支持工程师赴现场分析并解决。</w:t>
      </w:r>
    </w:p>
    <w:p w14:paraId="18D13B78" w14:textId="19191324" w:rsidR="00C43A8F" w:rsidRPr="00C67967" w:rsidRDefault="00C43A8F" w:rsidP="00C67967">
      <w:pPr>
        <w:rPr>
          <w:rFonts w:ascii="仿宋" w:eastAsia="仿宋" w:hAnsi="仿宋"/>
          <w:sz w:val="28"/>
          <w:szCs w:val="28"/>
        </w:rPr>
      </w:pPr>
      <w:bookmarkStart w:id="7" w:name="_GoBack"/>
      <w:bookmarkEnd w:id="7"/>
    </w:p>
    <w:sectPr w:rsidR="00C43A8F" w:rsidRPr="00C679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75DE6" w14:textId="77777777" w:rsidR="00D34F1C" w:rsidRDefault="00D34F1C" w:rsidP="00955C9E">
      <w:r>
        <w:separator/>
      </w:r>
    </w:p>
  </w:endnote>
  <w:endnote w:type="continuationSeparator" w:id="0">
    <w:p w14:paraId="1DF2E5BC" w14:textId="77777777" w:rsidR="00D34F1C" w:rsidRDefault="00D34F1C" w:rsidP="00955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C391E6" w14:textId="77777777" w:rsidR="00D34F1C" w:rsidRDefault="00D34F1C" w:rsidP="00955C9E">
      <w:r>
        <w:separator/>
      </w:r>
    </w:p>
  </w:footnote>
  <w:footnote w:type="continuationSeparator" w:id="0">
    <w:p w14:paraId="0FBC361D" w14:textId="77777777" w:rsidR="00D34F1C" w:rsidRDefault="00D34F1C" w:rsidP="00955C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F89"/>
    <w:rsid w:val="000D1E0D"/>
    <w:rsid w:val="000E6F45"/>
    <w:rsid w:val="00151DEC"/>
    <w:rsid w:val="00194060"/>
    <w:rsid w:val="001E1F89"/>
    <w:rsid w:val="001E391F"/>
    <w:rsid w:val="00217F37"/>
    <w:rsid w:val="00224AA4"/>
    <w:rsid w:val="00330ABA"/>
    <w:rsid w:val="0034514D"/>
    <w:rsid w:val="00390070"/>
    <w:rsid w:val="003A3AE1"/>
    <w:rsid w:val="004A5945"/>
    <w:rsid w:val="00547249"/>
    <w:rsid w:val="00551A72"/>
    <w:rsid w:val="005768B5"/>
    <w:rsid w:val="005E2D67"/>
    <w:rsid w:val="00652D1B"/>
    <w:rsid w:val="006B0186"/>
    <w:rsid w:val="007A1241"/>
    <w:rsid w:val="007B6FDA"/>
    <w:rsid w:val="007C3D4C"/>
    <w:rsid w:val="007D70F9"/>
    <w:rsid w:val="0080215B"/>
    <w:rsid w:val="00820020"/>
    <w:rsid w:val="008F7FA1"/>
    <w:rsid w:val="00947156"/>
    <w:rsid w:val="00955C9E"/>
    <w:rsid w:val="00987002"/>
    <w:rsid w:val="0099379F"/>
    <w:rsid w:val="00994DC4"/>
    <w:rsid w:val="009F0245"/>
    <w:rsid w:val="009F7E5A"/>
    <w:rsid w:val="00A46739"/>
    <w:rsid w:val="00A510D9"/>
    <w:rsid w:val="00A97782"/>
    <w:rsid w:val="00B23B5D"/>
    <w:rsid w:val="00B6330D"/>
    <w:rsid w:val="00BC64C7"/>
    <w:rsid w:val="00C02289"/>
    <w:rsid w:val="00C3225D"/>
    <w:rsid w:val="00C43A8F"/>
    <w:rsid w:val="00C626D3"/>
    <w:rsid w:val="00C67967"/>
    <w:rsid w:val="00CB4B3A"/>
    <w:rsid w:val="00CD5A5B"/>
    <w:rsid w:val="00D34F1C"/>
    <w:rsid w:val="00D85130"/>
    <w:rsid w:val="00D93AD7"/>
    <w:rsid w:val="00E90D03"/>
    <w:rsid w:val="00EA6D53"/>
    <w:rsid w:val="00EC3834"/>
    <w:rsid w:val="00EE53D0"/>
    <w:rsid w:val="00F700F7"/>
    <w:rsid w:val="00FC6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B75D65"/>
  <w15:docId w15:val="{0303B632-1324-49CA-97FC-16EA00BA2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E90D03"/>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E90D0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5C9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55C9E"/>
    <w:rPr>
      <w:sz w:val="18"/>
      <w:szCs w:val="18"/>
    </w:rPr>
  </w:style>
  <w:style w:type="paragraph" w:styleId="a5">
    <w:name w:val="footer"/>
    <w:basedOn w:val="a"/>
    <w:link w:val="a6"/>
    <w:uiPriority w:val="99"/>
    <w:unhideWhenUsed/>
    <w:rsid w:val="00955C9E"/>
    <w:pPr>
      <w:tabs>
        <w:tab w:val="center" w:pos="4153"/>
        <w:tab w:val="right" w:pos="8306"/>
      </w:tabs>
      <w:snapToGrid w:val="0"/>
      <w:jc w:val="left"/>
    </w:pPr>
    <w:rPr>
      <w:sz w:val="18"/>
      <w:szCs w:val="18"/>
    </w:rPr>
  </w:style>
  <w:style w:type="character" w:customStyle="1" w:styleId="a6">
    <w:name w:val="页脚 字符"/>
    <w:basedOn w:val="a0"/>
    <w:link w:val="a5"/>
    <w:uiPriority w:val="99"/>
    <w:rsid w:val="00955C9E"/>
    <w:rPr>
      <w:sz w:val="18"/>
      <w:szCs w:val="18"/>
    </w:rPr>
  </w:style>
  <w:style w:type="character" w:styleId="a7">
    <w:name w:val="Hyperlink"/>
    <w:basedOn w:val="a0"/>
    <w:uiPriority w:val="99"/>
    <w:semiHidden/>
    <w:unhideWhenUsed/>
    <w:rsid w:val="00330ABA"/>
    <w:rPr>
      <w:color w:val="0000FF"/>
      <w:u w:val="single"/>
    </w:rPr>
  </w:style>
  <w:style w:type="character" w:styleId="a8">
    <w:name w:val="FollowedHyperlink"/>
    <w:basedOn w:val="a0"/>
    <w:uiPriority w:val="99"/>
    <w:semiHidden/>
    <w:unhideWhenUsed/>
    <w:rsid w:val="00330ABA"/>
    <w:rPr>
      <w:color w:val="800080"/>
      <w:u w:val="single"/>
    </w:rPr>
  </w:style>
  <w:style w:type="paragraph" w:customStyle="1" w:styleId="font5">
    <w:name w:val="font5"/>
    <w:basedOn w:val="a"/>
    <w:rsid w:val="00330ABA"/>
    <w:pPr>
      <w:widowControl/>
      <w:spacing w:before="100" w:beforeAutospacing="1" w:after="100" w:afterAutospacing="1"/>
      <w:jc w:val="left"/>
    </w:pPr>
    <w:rPr>
      <w:rFonts w:ascii="宋体" w:eastAsia="宋体" w:hAnsi="宋体" w:cs="宋体"/>
      <w:color w:val="000000"/>
      <w:kern w:val="0"/>
      <w:sz w:val="22"/>
    </w:rPr>
  </w:style>
  <w:style w:type="paragraph" w:customStyle="1" w:styleId="font6">
    <w:name w:val="font6"/>
    <w:basedOn w:val="a"/>
    <w:rsid w:val="00330ABA"/>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7">
    <w:name w:val="font7"/>
    <w:basedOn w:val="a"/>
    <w:rsid w:val="00330ABA"/>
    <w:pPr>
      <w:widowControl/>
      <w:spacing w:before="100" w:beforeAutospacing="1" w:after="100" w:afterAutospacing="1"/>
      <w:jc w:val="left"/>
    </w:pPr>
    <w:rPr>
      <w:rFonts w:ascii="Arial" w:eastAsia="宋体" w:hAnsi="Arial" w:cs="Arial"/>
      <w:color w:val="000000"/>
      <w:kern w:val="0"/>
      <w:sz w:val="20"/>
      <w:szCs w:val="20"/>
    </w:rPr>
  </w:style>
  <w:style w:type="paragraph" w:customStyle="1" w:styleId="font8">
    <w:name w:val="font8"/>
    <w:basedOn w:val="a"/>
    <w:rsid w:val="00330ABA"/>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9">
    <w:name w:val="font9"/>
    <w:basedOn w:val="a"/>
    <w:rsid w:val="00330ABA"/>
    <w:pPr>
      <w:widowControl/>
      <w:spacing w:before="100" w:beforeAutospacing="1" w:after="100" w:afterAutospacing="1"/>
      <w:jc w:val="left"/>
    </w:pPr>
    <w:rPr>
      <w:rFonts w:ascii="Arial" w:eastAsia="宋体" w:hAnsi="Arial" w:cs="Arial"/>
      <w:color w:val="000000"/>
      <w:kern w:val="0"/>
      <w:sz w:val="20"/>
      <w:szCs w:val="20"/>
    </w:rPr>
  </w:style>
  <w:style w:type="paragraph" w:customStyle="1" w:styleId="font10">
    <w:name w:val="font10"/>
    <w:basedOn w:val="a"/>
    <w:rsid w:val="00330ABA"/>
    <w:pPr>
      <w:widowControl/>
      <w:spacing w:before="100" w:beforeAutospacing="1" w:after="100" w:afterAutospacing="1"/>
      <w:jc w:val="left"/>
    </w:pPr>
    <w:rPr>
      <w:rFonts w:ascii="宋体" w:eastAsia="宋体" w:hAnsi="宋体" w:cs="宋体"/>
      <w:kern w:val="0"/>
      <w:sz w:val="18"/>
      <w:szCs w:val="18"/>
    </w:rPr>
  </w:style>
  <w:style w:type="paragraph" w:customStyle="1" w:styleId="xl66">
    <w:name w:val="xl66"/>
    <w:basedOn w:val="a"/>
    <w:rsid w:val="00330AB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7">
    <w:name w:val="xl67"/>
    <w:basedOn w:val="a"/>
    <w:rsid w:val="00330AB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微软雅黑" w:eastAsia="微软雅黑" w:hAnsi="微软雅黑" w:cs="宋体"/>
      <w:kern w:val="0"/>
      <w:sz w:val="20"/>
      <w:szCs w:val="20"/>
    </w:rPr>
  </w:style>
  <w:style w:type="paragraph" w:customStyle="1" w:styleId="xl68">
    <w:name w:val="xl68"/>
    <w:basedOn w:val="a"/>
    <w:rsid w:val="00330AB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微软雅黑" w:eastAsia="微软雅黑" w:hAnsi="微软雅黑" w:cs="宋体"/>
      <w:kern w:val="0"/>
      <w:sz w:val="20"/>
      <w:szCs w:val="20"/>
    </w:rPr>
  </w:style>
  <w:style w:type="paragraph" w:customStyle="1" w:styleId="xl69">
    <w:name w:val="xl69"/>
    <w:basedOn w:val="a"/>
    <w:rsid w:val="00330AB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kern w:val="0"/>
      <w:sz w:val="20"/>
      <w:szCs w:val="20"/>
    </w:rPr>
  </w:style>
  <w:style w:type="paragraph" w:customStyle="1" w:styleId="xl70">
    <w:name w:val="xl70"/>
    <w:basedOn w:val="a"/>
    <w:rsid w:val="00330AB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kern w:val="0"/>
      <w:sz w:val="20"/>
      <w:szCs w:val="20"/>
    </w:rPr>
  </w:style>
  <w:style w:type="paragraph" w:customStyle="1" w:styleId="xl71">
    <w:name w:val="xl71"/>
    <w:basedOn w:val="a"/>
    <w:rsid w:val="00330AB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微软雅黑" w:eastAsia="微软雅黑" w:hAnsi="微软雅黑" w:cs="宋体"/>
      <w:color w:val="000000"/>
      <w:kern w:val="0"/>
      <w:sz w:val="20"/>
      <w:szCs w:val="20"/>
    </w:rPr>
  </w:style>
  <w:style w:type="paragraph" w:customStyle="1" w:styleId="xl72">
    <w:name w:val="xl72"/>
    <w:basedOn w:val="a"/>
    <w:rsid w:val="00330AB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微软雅黑" w:eastAsia="微软雅黑" w:hAnsi="微软雅黑" w:cs="宋体"/>
      <w:kern w:val="0"/>
      <w:sz w:val="20"/>
      <w:szCs w:val="20"/>
    </w:rPr>
  </w:style>
  <w:style w:type="paragraph" w:customStyle="1" w:styleId="xl73">
    <w:name w:val="xl73"/>
    <w:basedOn w:val="a"/>
    <w:rsid w:val="00330AB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74">
    <w:name w:val="xl74"/>
    <w:basedOn w:val="a"/>
    <w:rsid w:val="00330AB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5">
    <w:name w:val="xl75"/>
    <w:basedOn w:val="a"/>
    <w:rsid w:val="00330A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6">
    <w:name w:val="xl76"/>
    <w:basedOn w:val="a"/>
    <w:rsid w:val="00330ABA"/>
    <w:pPr>
      <w:widowControl/>
      <w:spacing w:before="100" w:beforeAutospacing="1" w:after="100" w:afterAutospacing="1"/>
      <w:jc w:val="left"/>
    </w:pPr>
    <w:rPr>
      <w:rFonts w:ascii="宋体" w:eastAsia="宋体" w:hAnsi="宋体" w:cs="宋体"/>
      <w:kern w:val="0"/>
      <w:sz w:val="24"/>
      <w:szCs w:val="24"/>
    </w:rPr>
  </w:style>
  <w:style w:type="paragraph" w:customStyle="1" w:styleId="xl77">
    <w:name w:val="xl77"/>
    <w:basedOn w:val="a"/>
    <w:rsid w:val="00330A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rsid w:val="00330A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9">
    <w:name w:val="xl79"/>
    <w:basedOn w:val="a"/>
    <w:rsid w:val="00330AB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0">
    <w:name w:val="xl80"/>
    <w:basedOn w:val="a"/>
    <w:rsid w:val="00330A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rsid w:val="00330ABA"/>
    <w:pPr>
      <w:widowControl/>
      <w:spacing w:before="100" w:beforeAutospacing="1" w:after="100" w:afterAutospacing="1"/>
      <w:jc w:val="center"/>
    </w:pPr>
    <w:rPr>
      <w:rFonts w:ascii="宋体" w:eastAsia="宋体" w:hAnsi="宋体" w:cs="宋体"/>
      <w:kern w:val="0"/>
      <w:sz w:val="36"/>
      <w:szCs w:val="36"/>
    </w:rPr>
  </w:style>
  <w:style w:type="character" w:customStyle="1" w:styleId="20">
    <w:name w:val="标题 2 字符"/>
    <w:basedOn w:val="a0"/>
    <w:link w:val="2"/>
    <w:uiPriority w:val="9"/>
    <w:rsid w:val="00E90D03"/>
    <w:rPr>
      <w:rFonts w:asciiTheme="majorHAnsi" w:eastAsiaTheme="majorEastAsia" w:hAnsiTheme="majorHAnsi" w:cstheme="majorBidi"/>
      <w:b/>
      <w:bCs/>
      <w:sz w:val="32"/>
      <w:szCs w:val="32"/>
    </w:rPr>
  </w:style>
  <w:style w:type="character" w:customStyle="1" w:styleId="10">
    <w:name w:val="标题 1 字符"/>
    <w:basedOn w:val="a0"/>
    <w:link w:val="1"/>
    <w:uiPriority w:val="9"/>
    <w:rsid w:val="00E90D03"/>
    <w:rPr>
      <w:b/>
      <w:bCs/>
      <w:kern w:val="44"/>
      <w:sz w:val="44"/>
      <w:szCs w:val="44"/>
    </w:rPr>
  </w:style>
  <w:style w:type="paragraph" w:styleId="a9">
    <w:name w:val="Body Text Indent"/>
    <w:basedOn w:val="a"/>
    <w:link w:val="aa"/>
    <w:rsid w:val="00C67967"/>
    <w:pPr>
      <w:ind w:firstLine="630"/>
    </w:pPr>
    <w:rPr>
      <w:rFonts w:ascii="Times New Roman" w:eastAsia="宋体" w:hAnsi="Times New Roman" w:cs="Times New Roman"/>
      <w:sz w:val="32"/>
      <w:szCs w:val="20"/>
    </w:rPr>
  </w:style>
  <w:style w:type="character" w:customStyle="1" w:styleId="aa">
    <w:name w:val="正文文本缩进 字符"/>
    <w:basedOn w:val="a0"/>
    <w:link w:val="a9"/>
    <w:rsid w:val="00C67967"/>
    <w:rPr>
      <w:rFonts w:ascii="Times New Roman" w:eastAsia="宋体" w:hAnsi="Times New Roman" w:cs="Times New Roman"/>
      <w:sz w:val="32"/>
      <w:szCs w:val="20"/>
    </w:rPr>
  </w:style>
  <w:style w:type="paragraph" w:styleId="ab">
    <w:name w:val="Normal Indent"/>
    <w:basedOn w:val="a"/>
    <w:rsid w:val="00C67967"/>
    <w:pPr>
      <w:ind w:firstLineChars="200" w:firstLine="200"/>
    </w:pPr>
    <w:rPr>
      <w:rFonts w:ascii="Times New Roman" w:eastAsia="宋体" w:hAnsi="Times New Roman" w:cs="Times New Roman"/>
      <w:szCs w:val="24"/>
    </w:rPr>
  </w:style>
  <w:style w:type="paragraph" w:styleId="ac">
    <w:name w:val="Body Text"/>
    <w:basedOn w:val="a"/>
    <w:next w:val="ad"/>
    <w:link w:val="ae"/>
    <w:qFormat/>
    <w:rsid w:val="00C67967"/>
    <w:pPr>
      <w:spacing w:after="120"/>
    </w:pPr>
    <w:rPr>
      <w:rFonts w:ascii="Times New Roman" w:eastAsia="宋体" w:hAnsi="Times New Roman" w:cs="Times New Roman"/>
      <w:szCs w:val="24"/>
    </w:rPr>
  </w:style>
  <w:style w:type="character" w:customStyle="1" w:styleId="ae">
    <w:name w:val="正文文本 字符"/>
    <w:basedOn w:val="a0"/>
    <w:link w:val="ac"/>
    <w:rsid w:val="00C67967"/>
    <w:rPr>
      <w:rFonts w:ascii="Times New Roman" w:eastAsia="宋体" w:hAnsi="Times New Roman" w:cs="Times New Roman"/>
      <w:szCs w:val="24"/>
    </w:rPr>
  </w:style>
  <w:style w:type="paragraph" w:styleId="ad">
    <w:name w:val="Body Text First Indent"/>
    <w:basedOn w:val="ac"/>
    <w:link w:val="af"/>
    <w:uiPriority w:val="99"/>
    <w:rsid w:val="00C67967"/>
    <w:pPr>
      <w:ind w:firstLineChars="100" w:firstLine="420"/>
    </w:pPr>
  </w:style>
  <w:style w:type="character" w:customStyle="1" w:styleId="af">
    <w:name w:val="正文首行缩进 字符"/>
    <w:basedOn w:val="ae"/>
    <w:link w:val="ad"/>
    <w:uiPriority w:val="99"/>
    <w:rsid w:val="00C67967"/>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6672360">
      <w:bodyDiv w:val="1"/>
      <w:marLeft w:val="0"/>
      <w:marRight w:val="0"/>
      <w:marTop w:val="0"/>
      <w:marBottom w:val="0"/>
      <w:divBdr>
        <w:top w:val="none" w:sz="0" w:space="0" w:color="auto"/>
        <w:left w:val="none" w:sz="0" w:space="0" w:color="auto"/>
        <w:bottom w:val="none" w:sz="0" w:space="0" w:color="auto"/>
        <w:right w:val="none" w:sz="0" w:space="0" w:color="auto"/>
      </w:divBdr>
    </w:div>
    <w:div w:id="1714042229">
      <w:bodyDiv w:val="1"/>
      <w:marLeft w:val="0"/>
      <w:marRight w:val="0"/>
      <w:marTop w:val="0"/>
      <w:marBottom w:val="0"/>
      <w:divBdr>
        <w:top w:val="none" w:sz="0" w:space="0" w:color="auto"/>
        <w:left w:val="none" w:sz="0" w:space="0" w:color="auto"/>
        <w:bottom w:val="none" w:sz="0" w:space="0" w:color="auto"/>
        <w:right w:val="none" w:sz="0" w:space="0" w:color="auto"/>
      </w:divBdr>
    </w:div>
    <w:div w:id="180685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Pages>
  <Words>263</Words>
  <Characters>1500</Characters>
  <Application>Microsoft Office Word</Application>
  <DocSecurity>0</DocSecurity>
  <Lines>12</Lines>
  <Paragraphs>3</Paragraphs>
  <ScaleCrop>false</ScaleCrop>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55</cp:revision>
  <dcterms:created xsi:type="dcterms:W3CDTF">2020-12-15T03:54:00Z</dcterms:created>
  <dcterms:modified xsi:type="dcterms:W3CDTF">2021-01-14T09:11:00Z</dcterms:modified>
</cp:coreProperties>
</file>