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3"/>
        <w:tblpPr w:leftFromText="180" w:rightFromText="180" w:vertAnchor="text" w:horzAnchor="margin" w:tblpXSpec="center" w:tblpY="273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984"/>
        <w:gridCol w:w="2552"/>
        <w:gridCol w:w="6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检验负责人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博士研究生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76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生物化学与分子生物学、微生物学、免疫学、临床检验诊断学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副高以上专业技术职称；具有丰富的临床检验工作经验，曾在三级甲等综合医院担任检验科负责人。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rPr>
          <w:rFonts w:ascii="方正小标宋简体" w:eastAsia="方正小标宋简体"/>
          <w:bCs/>
          <w:sz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1F29"/>
    <w:rsid w:val="5F3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2021-02-02T06:26:00Z</dcterms:created>
  <dc:creator>凤姐Phenix</dc:creator>
  <cp:lastModifiedBy>凤姐Phenix</cp:lastModifiedBy>
  <dcterms:modified xsi:type="dcterms:W3CDTF">2021-02-02T06:26:19Z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