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
          <w:color w:val="000000" w:themeColor="text1"/>
          <w:sz w:val="44"/>
          <w:szCs w:val="44"/>
          <w14:textFill>
            <w14:solidFill>
              <w14:schemeClr w14:val="tx1"/>
            </w14:solidFill>
          </w14:textFill>
        </w:rPr>
      </w:pPr>
    </w:p>
    <w:p>
      <w:pPr>
        <w:jc w:val="center"/>
        <w:rPr>
          <w:rFonts w:ascii="宋体" w:hAnsi="宋体" w:eastAsia="宋体" w:cs="宋体"/>
          <w:b/>
          <w:color w:val="000000" w:themeColor="text1"/>
          <w:kern w:val="0"/>
          <w:sz w:val="44"/>
          <w:szCs w:val="44"/>
          <w14:textFill>
            <w14:solidFill>
              <w14:schemeClr w14:val="tx1"/>
            </w14:solidFill>
          </w14:textFill>
        </w:rPr>
      </w:pPr>
      <w:r>
        <w:rPr>
          <w:rFonts w:hint="eastAsia" w:ascii="宋体" w:hAnsi="宋体" w:eastAsia="宋体" w:cs="宋体"/>
          <w:b/>
          <w:color w:val="000000" w:themeColor="text1"/>
          <w:kern w:val="0"/>
          <w:sz w:val="44"/>
          <w:szCs w:val="44"/>
          <w14:textFill>
            <w14:solidFill>
              <w14:schemeClr w14:val="tx1"/>
            </w14:solidFill>
          </w14:textFill>
        </w:rPr>
        <w:t>信息设备现场维护相关服务采购项目</w:t>
      </w:r>
    </w:p>
    <w:p>
      <w:pPr>
        <w:pStyle w:val="2"/>
        <w:jc w:val="center"/>
        <w:rPr>
          <w:rFonts w:eastAsia="宋体"/>
        </w:rPr>
      </w:pPr>
    </w:p>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p>
    <w:p>
      <w:pPr>
        <w:pStyle w:val="2"/>
      </w:pPr>
    </w:p>
    <w:p>
      <w:pPr>
        <w:pStyle w:val="2"/>
      </w:pPr>
    </w:p>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p>
    <w:p>
      <w:pPr>
        <w:jc w:val="center"/>
        <w:rPr>
          <w:color w:val="000000" w:themeColor="text1"/>
          <w:sz w:val="32"/>
          <w:szCs w:val="32"/>
          <w14:textFill>
            <w14:solidFill>
              <w14:schemeClr w14:val="tx1"/>
            </w14:solidFill>
          </w14:textFill>
        </w:rPr>
      </w:pPr>
    </w:p>
    <w:p>
      <w:pPr>
        <w:jc w:val="center"/>
        <w:rPr>
          <w:color w:val="000000" w:themeColor="text1"/>
          <w:sz w:val="32"/>
          <w:szCs w:val="32"/>
          <w14:textFill>
            <w14:solidFill>
              <w14:schemeClr w14:val="tx1"/>
            </w14:solidFill>
          </w14:textFill>
        </w:rPr>
      </w:pPr>
    </w:p>
    <w:p>
      <w:pPr>
        <w:jc w:val="center"/>
        <w:rPr>
          <w:color w:val="000000" w:themeColor="text1"/>
          <w:sz w:val="32"/>
          <w:szCs w:val="32"/>
          <w14:textFill>
            <w14:solidFill>
              <w14:schemeClr w14:val="tx1"/>
            </w14:solidFill>
          </w14:textFill>
        </w:rPr>
      </w:pPr>
    </w:p>
    <w:p>
      <w:pPr>
        <w:jc w:val="center"/>
        <w:rPr>
          <w:color w:val="000000" w:themeColor="text1"/>
          <w:sz w:val="32"/>
          <w:szCs w:val="32"/>
          <w14:textFill>
            <w14:solidFill>
              <w14:schemeClr w14:val="tx1"/>
            </w14:solidFill>
          </w14:textFill>
        </w:rPr>
      </w:pPr>
    </w:p>
    <w:p>
      <w:pPr>
        <w:jc w:val="center"/>
        <w:rPr>
          <w:b/>
          <w:color w:val="000000" w:themeColor="text1"/>
          <w:sz w:val="96"/>
          <w:szCs w:val="96"/>
          <w14:textFill>
            <w14:solidFill>
              <w14:schemeClr w14:val="tx1"/>
            </w14:solidFill>
          </w14:textFill>
        </w:rPr>
      </w:pPr>
      <w:r>
        <w:rPr>
          <w:rFonts w:hint="eastAsia"/>
          <w:b/>
          <w:color w:val="000000" w:themeColor="text1"/>
          <w:sz w:val="96"/>
          <w:szCs w:val="96"/>
          <w14:textFill>
            <w14:solidFill>
              <w14:schemeClr w14:val="tx1"/>
            </w14:solidFill>
          </w14:textFill>
        </w:rPr>
        <w:t>招标文件</w:t>
      </w:r>
    </w:p>
    <w:p>
      <w:pPr>
        <w:jc w:val="center"/>
        <w:rPr>
          <w:color w:val="000000" w:themeColor="text1"/>
          <w:sz w:val="32"/>
          <w:szCs w:val="32"/>
          <w14:textFill>
            <w14:solidFill>
              <w14:schemeClr w14:val="tx1"/>
            </w14:solidFill>
          </w14:textFill>
        </w:rPr>
      </w:pPr>
    </w:p>
    <w:p>
      <w:pPr>
        <w:jc w:val="center"/>
        <w:rPr>
          <w:color w:val="000000" w:themeColor="text1"/>
          <w:sz w:val="32"/>
          <w:szCs w:val="32"/>
          <w14:textFill>
            <w14:solidFill>
              <w14:schemeClr w14:val="tx1"/>
            </w14:solidFill>
          </w14:textFill>
        </w:rPr>
      </w:pPr>
    </w:p>
    <w:p>
      <w:pPr>
        <w:jc w:val="center"/>
        <w:rPr>
          <w:color w:val="000000" w:themeColor="text1"/>
          <w:sz w:val="32"/>
          <w:szCs w:val="32"/>
          <w14:textFill>
            <w14:solidFill>
              <w14:schemeClr w14:val="tx1"/>
            </w14:solidFill>
          </w14:textFill>
        </w:rPr>
      </w:pPr>
    </w:p>
    <w:p>
      <w:pPr>
        <w:pStyle w:val="2"/>
      </w:pPr>
    </w:p>
    <w:p>
      <w:pPr>
        <w:jc w:val="center"/>
        <w:rPr>
          <w:color w:val="000000" w:themeColor="text1"/>
          <w:sz w:val="32"/>
          <w:szCs w:val="32"/>
          <w14:textFill>
            <w14:solidFill>
              <w14:schemeClr w14:val="tx1"/>
            </w14:solidFill>
          </w14:textFill>
        </w:rPr>
      </w:pPr>
    </w:p>
    <w:p>
      <w:pPr>
        <w:pStyle w:val="2"/>
      </w:pPr>
    </w:p>
    <w:p>
      <w:pPr>
        <w:rPr>
          <w:color w:val="000000" w:themeColor="text1"/>
          <w:sz w:val="32"/>
          <w:szCs w:val="32"/>
          <w14:textFill>
            <w14:solidFill>
              <w14:schemeClr w14:val="tx1"/>
            </w14:solidFill>
          </w14:textFill>
        </w:rPr>
      </w:pPr>
    </w:p>
    <w:p>
      <w:pPr>
        <w:jc w:val="center"/>
        <w:rPr>
          <w:color w:val="000000" w:themeColor="text1"/>
          <w:sz w:val="32"/>
          <w:szCs w:val="32"/>
          <w14:textFill>
            <w14:solidFill>
              <w14:schemeClr w14:val="tx1"/>
            </w14:solidFill>
          </w14:textFill>
        </w:rPr>
      </w:pPr>
    </w:p>
    <w:p>
      <w:pPr>
        <w:jc w:val="center"/>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四川省精神医学中心</w:t>
      </w:r>
    </w:p>
    <w:p>
      <w:r>
        <w:br w:type="page"/>
      </w:r>
    </w:p>
    <w:p>
      <w:pPr>
        <w:numPr>
          <w:ilvl w:val="0"/>
          <w:numId w:val="1"/>
        </w:numPr>
        <w:jc w:val="left"/>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投标须知</w:t>
      </w:r>
    </w:p>
    <w:p>
      <w:pPr>
        <w:numPr>
          <w:ilvl w:val="0"/>
          <w:numId w:val="2"/>
        </w:numPr>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1招标概况：</w:t>
      </w:r>
    </w:p>
    <w:p>
      <w:pPr>
        <w:spacing w:line="360" w:lineRule="auto"/>
        <w:ind w:firstLine="560" w:firstLineChars="200"/>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四川省精神医学中心因信息设备维修维护需要，拟采购：现有信息设备现场维护维修服务，部分信息设备维修配件和网络布点辅助材料。</w:t>
      </w:r>
    </w:p>
    <w:p>
      <w:pPr>
        <w:spacing w:line="360" w:lineRule="auto"/>
        <w:ind w:firstLine="560" w:firstLineChars="200"/>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本次项目的维护维修范围主要包括四川省精神医学中心门诊科室、住院科室、行政办公部门、信息机房及弱电井中的信息设备。</w:t>
      </w:r>
    </w:p>
    <w:p>
      <w:pPr>
        <w:spacing w:line="360" w:lineRule="auto"/>
        <w:ind w:firstLine="560" w:firstLineChars="200"/>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具体设备如下：PC数量大于300台，大部分PC为HP 288G3\288G4\Pro A-MT\288G6,DELL 成就系列；打印机大于200台，主要型号为HP 1106\1020plus\彩色激光打印机180N，佳能彩色喷墨打印机，得实针式打印机，爱普生条码打印机；复印机大于4台，为富士施乐复印机。网络交换设备大于200台，品牌为锐捷和华为。网络安全设备大于10台，品牌为启明星辰和锐捷。模块化机柜品牌为浪潮。此外还有亚华电子排队叫号系统，仙视信息发布系统等信息设备。</w:t>
      </w:r>
    </w:p>
    <w:p>
      <w:pPr>
        <w:pStyle w:val="25"/>
        <w:ind w:firstLine="560" w:firstLineChars="200"/>
        <w:rPr>
          <w:rFonts w:ascii="仿宋" w:hAnsi="仿宋" w:eastAsia="仿宋" w:cs="仿宋"/>
          <w:color w:val="000000" w:themeColor="text1"/>
          <w:szCs w:val="28"/>
          <w14:textFill>
            <w14:solidFill>
              <w14:schemeClr w14:val="tx1"/>
            </w14:solidFill>
          </w14:textFill>
        </w:rPr>
      </w:pPr>
      <w:r>
        <w:rPr>
          <w:rFonts w:hint="eastAsia" w:ascii="仿宋" w:hAnsi="仿宋" w:eastAsia="仿宋" w:cs="仿宋"/>
          <w:color w:val="000000" w:themeColor="text1"/>
          <w:szCs w:val="28"/>
          <w14:textFill>
            <w14:solidFill>
              <w14:schemeClr w14:val="tx1"/>
            </w14:solidFill>
          </w14:textFill>
        </w:rPr>
        <w:t>欢迎有资质、有能力的供应商前来参与投标。</w:t>
      </w:r>
    </w:p>
    <w:p>
      <w:pPr>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1.2 投标单位要求：</w:t>
      </w:r>
    </w:p>
    <w:p>
      <w:pPr>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1.2.1 在中华人民共和国境内注册，具有独立法人资格；</w:t>
      </w:r>
    </w:p>
    <w:p>
      <w:pPr>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1.2.2 具有良好的商业信誉和健全的财务会计制度；</w:t>
      </w:r>
    </w:p>
    <w:p>
      <w:pPr>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1.2.3 具备履行合同所必需的设备和专业技术能力的证明材料；</w:t>
      </w:r>
    </w:p>
    <w:p>
      <w:pPr>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1.2.4 参加采购活动前三年内，在经营活动中没有重大违法记录；</w:t>
      </w:r>
    </w:p>
    <w:p>
      <w:pPr>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1.3 质量要求：按合同约定。</w:t>
      </w:r>
    </w:p>
    <w:p>
      <w:pPr>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1.4 服务要求：投标人的服务承诺应按不低于招标文件中提出的所有服务要求的标准做出响应。其基本服务要求如下：</w:t>
      </w:r>
    </w:p>
    <w:p>
      <w:pPr>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1.4.1符合本招标文件及招标人承诺的质量、技术和其他要求，符合国家相关的质量标准和出厂标准。</w:t>
      </w:r>
    </w:p>
    <w:p>
      <w:pPr>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1.5 招标文件获取方式：登陆四川省精神医学中心官网（http://www.scsjsyxzx.com/),进入四川省精神医学中心门户网站，免费下载招标文件。</w:t>
      </w:r>
    </w:p>
    <w:p>
      <w:pPr>
        <w:jc w:val="left"/>
        <w:rPr>
          <w:rFonts w:ascii="仿宋" w:hAnsi="仿宋" w:eastAsia="仿宋" w:cs="仿宋"/>
          <w:color w:val="auto"/>
          <w:sz w:val="28"/>
          <w:szCs w:val="28"/>
        </w:rPr>
      </w:pPr>
      <w:r>
        <w:rPr>
          <w:rFonts w:hint="eastAsia" w:ascii="仿宋" w:hAnsi="仿宋" w:eastAsia="仿宋" w:cs="仿宋"/>
          <w:color w:val="000000" w:themeColor="text1"/>
          <w:sz w:val="28"/>
          <w:szCs w:val="28"/>
          <w14:textFill>
            <w14:solidFill>
              <w14:schemeClr w14:val="tx1"/>
            </w14:solidFill>
          </w14:textFill>
        </w:rPr>
        <w:t>1.6 招标文件获取时间</w:t>
      </w:r>
      <w:r>
        <w:rPr>
          <w:rFonts w:hint="eastAsia" w:ascii="仿宋" w:hAnsi="仿宋" w:eastAsia="仿宋" w:cs="仿宋"/>
          <w:color w:val="auto"/>
          <w:sz w:val="28"/>
          <w:szCs w:val="28"/>
        </w:rPr>
        <w:t>：2021.7.</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--7.2</w:t>
      </w:r>
      <w:r>
        <w:rPr>
          <w:rFonts w:hint="eastAsia" w:ascii="仿宋" w:hAnsi="仿宋" w:eastAsia="仿宋" w:cs="仿宋"/>
          <w:color w:val="auto"/>
          <w:sz w:val="28"/>
          <w:szCs w:val="28"/>
          <w:lang w:val="en-US" w:eastAsia="zh-CN"/>
        </w:rPr>
        <w:t>8</w:t>
      </w:r>
      <w:r>
        <w:rPr>
          <w:rFonts w:hint="eastAsia" w:ascii="仿宋" w:hAnsi="仿宋" w:eastAsia="仿宋" w:cs="仿宋"/>
          <w:color w:val="auto"/>
          <w:sz w:val="28"/>
          <w:szCs w:val="28"/>
        </w:rPr>
        <w:t>。</w:t>
      </w:r>
    </w:p>
    <w:p>
      <w:pPr>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1.7 投标文件递交时间：2021.7.2</w:t>
      </w:r>
      <w:r>
        <w:rPr>
          <w:rFonts w:hint="eastAsia" w:ascii="仿宋" w:hAnsi="仿宋" w:eastAsia="仿宋" w:cs="仿宋"/>
          <w:color w:val="000000" w:themeColor="text1"/>
          <w:sz w:val="28"/>
          <w:szCs w:val="28"/>
          <w:lang w:val="en-US" w:eastAsia="zh-CN"/>
          <w14:textFill>
            <w14:solidFill>
              <w14:schemeClr w14:val="tx1"/>
            </w14:solidFill>
          </w14:textFill>
        </w:rPr>
        <w:t>8</w:t>
      </w:r>
      <w:r>
        <w:rPr>
          <w:rFonts w:hint="eastAsia" w:ascii="仿宋" w:hAnsi="仿宋" w:eastAsia="仿宋" w:cs="仿宋"/>
          <w:color w:val="000000" w:themeColor="text1"/>
          <w:sz w:val="28"/>
          <w:szCs w:val="28"/>
          <w14:textFill>
            <w14:solidFill>
              <w14:schemeClr w14:val="tx1"/>
            </w14:solidFill>
          </w14:textFill>
        </w:rPr>
        <w:t xml:space="preserve"> 11:00截止。</w:t>
      </w:r>
    </w:p>
    <w:p>
      <w:pPr>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1.8 投标文件递交方式：密封装订，现场递交。</w:t>
      </w:r>
    </w:p>
    <w:p>
      <w:pPr>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1.9</w:t>
      </w:r>
      <w:r>
        <w:rPr>
          <w:rFonts w:hint="eastAsia" w:ascii="仿宋" w:hAnsi="仿宋" w:eastAsia="仿宋" w:cs="仿宋"/>
          <w:color w:val="000000" w:themeColor="text1"/>
          <w:sz w:val="28"/>
          <w:szCs w:val="28"/>
          <w:lang w:val="en-US" w:eastAsia="zh-CN"/>
          <w14:textFill>
            <w14:solidFill>
              <w14:schemeClr w14:val="tx1"/>
            </w14:solidFill>
          </w14:textFill>
        </w:rPr>
        <w:t xml:space="preserve"> 服务</w:t>
      </w:r>
      <w:r>
        <w:rPr>
          <w:rFonts w:hint="eastAsia" w:ascii="仿宋" w:hAnsi="仿宋" w:eastAsia="仿宋" w:cs="仿宋"/>
          <w:color w:val="000000" w:themeColor="text1"/>
          <w:sz w:val="28"/>
          <w:szCs w:val="28"/>
          <w14:textFill>
            <w14:solidFill>
              <w14:schemeClr w14:val="tx1"/>
            </w14:solidFill>
          </w14:textFill>
        </w:rPr>
        <w:t>限价：</w:t>
      </w:r>
      <w:r>
        <w:rPr>
          <w:rFonts w:hint="eastAsia" w:ascii="仿宋" w:hAnsi="仿宋" w:eastAsia="仿宋" w:cs="仿宋"/>
          <w:sz w:val="28"/>
          <w:szCs w:val="28"/>
          <w:u w:val="single"/>
        </w:rPr>
        <w:t xml:space="preserve">  15万元</w:t>
      </w:r>
      <w:r>
        <w:rPr>
          <w:rFonts w:hint="eastAsia" w:ascii="仿宋" w:hAnsi="仿宋" w:eastAsia="仿宋" w:cs="仿宋"/>
          <w:sz w:val="28"/>
          <w:szCs w:val="28"/>
          <w:u w:val="single"/>
          <w:lang w:val="en-US" w:eastAsia="zh-CN"/>
        </w:rPr>
        <w:t>/年</w:t>
      </w:r>
      <w:r>
        <w:rPr>
          <w:rFonts w:hint="eastAsia" w:ascii="仿宋" w:hAnsi="仿宋" w:eastAsia="仿宋" w:cs="仿宋"/>
          <w:sz w:val="28"/>
          <w:szCs w:val="28"/>
          <w:u w:val="single"/>
        </w:rPr>
        <w:t xml:space="preserve">  </w:t>
      </w:r>
      <w:r>
        <w:rPr>
          <w:rFonts w:hint="eastAsia" w:ascii="仿宋" w:hAnsi="仿宋" w:eastAsia="仿宋" w:cs="仿宋"/>
          <w:color w:val="000000" w:themeColor="text1"/>
          <w:sz w:val="28"/>
          <w:szCs w:val="28"/>
          <w14:textFill>
            <w14:solidFill>
              <w14:schemeClr w14:val="tx1"/>
            </w14:solidFill>
          </w14:textFill>
        </w:rPr>
        <w:t>。单项报价不得超过单价限价，报价应包含服务本身以及投标人工作人员履行服务期间产生的差旅费、人工费、专家邀请费用、调查材料制作费用等一切含税费用。</w:t>
      </w:r>
    </w:p>
    <w:p>
      <w:pPr>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1.10签订合同以甲方版本为准。</w:t>
      </w:r>
    </w:p>
    <w:p>
      <w:pPr>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1.11本文件规定外，招标人在招标期间发出的其他补充函件或文件修改均是招标文件的重要组成，对投标人起到约束作用。</w:t>
      </w:r>
    </w:p>
    <w:p>
      <w:pPr>
        <w:jc w:val="left"/>
        <w:rPr>
          <w:rFonts w:ascii="仿宋" w:hAnsi="仿宋" w:eastAsia="仿宋" w:cs="仿宋"/>
          <w:color w:val="000000" w:themeColor="text1"/>
          <w:sz w:val="28"/>
          <w:szCs w:val="28"/>
          <w14:textFill>
            <w14:solidFill>
              <w14:schemeClr w14:val="tx1"/>
            </w14:solidFill>
          </w14:textFill>
        </w:rPr>
      </w:pPr>
    </w:p>
    <w:p>
      <w:pPr>
        <w:numPr>
          <w:ilvl w:val="0"/>
          <w:numId w:val="1"/>
        </w:numPr>
        <w:jc w:val="left"/>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投标要求</w:t>
      </w:r>
    </w:p>
    <w:p>
      <w:pPr>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2.1招标内容：详见第一部分投标须知；</w:t>
      </w:r>
    </w:p>
    <w:p>
      <w:pPr>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2.2招标规格及数量：/</w:t>
      </w:r>
    </w:p>
    <w:p>
      <w:pPr>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2.3投标要求：详见投标须知；</w:t>
      </w:r>
    </w:p>
    <w:p>
      <w:pPr>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2.4技术要求：详见招标文件技术部分；</w:t>
      </w:r>
    </w:p>
    <w:p>
      <w:pPr>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2.5供货要求：详见投标须知；</w:t>
      </w:r>
    </w:p>
    <w:p>
      <w:pPr>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2.6其他约定：</w:t>
      </w:r>
    </w:p>
    <w:p>
      <w:pPr>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2.6.1不论招标结果如何，投标人的投标文件不退回，且不对投标人作任何解释；</w:t>
      </w:r>
    </w:p>
    <w:p>
      <w:pPr>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2.6.2投标产生的一切费用由投标人自行承担；</w:t>
      </w:r>
    </w:p>
    <w:p>
      <w:pPr>
        <w:pStyle w:val="2"/>
      </w:pPr>
    </w:p>
    <w:p>
      <w:pPr>
        <w:numPr>
          <w:ilvl w:val="0"/>
          <w:numId w:val="1"/>
        </w:numPr>
        <w:jc w:val="left"/>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投标文件的编制</w:t>
      </w:r>
    </w:p>
    <w:p>
      <w:pPr>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3.1投标文件的语言：招标人和投标人之间的所有函件往来必须使用汉语语言文字；</w:t>
      </w:r>
    </w:p>
    <w:p>
      <w:pPr>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3.2投标文件的组成（部分文件要求及格式见附件）：</w:t>
      </w:r>
    </w:p>
    <w:p>
      <w:pPr>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3.2.1 评标要素索引表</w:t>
      </w:r>
    </w:p>
    <w:p>
      <w:pPr>
        <w:pStyle w:val="2"/>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3.2.2 资格要求的响应</w:t>
      </w:r>
    </w:p>
    <w:p>
      <w:pPr>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3.2.2 技术要求的响应</w:t>
      </w:r>
    </w:p>
    <w:p>
      <w:pPr>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3.2.3 商务要求的响应</w:t>
      </w:r>
    </w:p>
    <w:p>
      <w:pPr>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（投标文件每页资料必须逐页加盖公司鲜章）</w:t>
      </w:r>
    </w:p>
    <w:p>
      <w:pPr>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3.4 投标文件正本一份，副本四份。</w:t>
      </w:r>
    </w:p>
    <w:p>
      <w:pPr>
        <w:pStyle w:val="2"/>
      </w:pPr>
    </w:p>
    <w:p>
      <w:pPr>
        <w:numPr>
          <w:ilvl w:val="0"/>
          <w:numId w:val="1"/>
        </w:numPr>
        <w:jc w:val="left"/>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招标、评选与中标通知书</w:t>
      </w:r>
    </w:p>
    <w:p>
      <w:pPr>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4.1 有下列情况之一都将被视为无效投标：</w:t>
      </w:r>
    </w:p>
    <w:p>
      <w:pPr>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4.1.1投标文件未按照投标文件的要求编制；</w:t>
      </w:r>
    </w:p>
    <w:p>
      <w:pPr>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4.1.2投标文件中的资料未加盖投标单位的公章；</w:t>
      </w:r>
    </w:p>
    <w:p>
      <w:pPr>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4.1.3报价若高于限价报价作无效报价处理。</w:t>
      </w:r>
    </w:p>
    <w:p>
      <w:pPr>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4.1.4投标文件封面未按投标文件封面要求编制和封贴。</w:t>
      </w:r>
    </w:p>
    <w:p>
      <w:pPr>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4.2 评标办法及标准：</w:t>
      </w:r>
    </w:p>
    <w:p>
      <w:pPr>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4.2.1按照文件规定，只对确定为符合文件的资质要求且实质上响应文件要求的参选文件进行评价和比较。</w:t>
      </w:r>
    </w:p>
    <w:p>
      <w:pPr>
        <w:jc w:val="left"/>
        <w:rPr>
          <w:rFonts w:ascii="仿宋" w:hAnsi="仿宋" w:eastAsia="仿宋" w:cs="仿宋"/>
          <w:sz w:val="28"/>
          <w:szCs w:val="28"/>
        </w:rPr>
      </w:pPr>
      <w:r>
        <w:rPr>
          <w:rFonts w:hint="eastAsia" w:ascii="仿宋" w:hAnsi="仿宋" w:eastAsia="仿宋" w:cs="仿宋"/>
          <w:color w:val="000000" w:themeColor="text1"/>
          <w:sz w:val="28"/>
          <w:szCs w:val="28"/>
          <w14:textFill>
            <w14:solidFill>
              <w14:schemeClr w14:val="tx1"/>
            </w14:solidFill>
          </w14:textFill>
        </w:rPr>
        <w:t>4.2.2通过资格审查、技术部分和商务部分审查后，评审小组按照综合评分法确定成交人。</w:t>
      </w:r>
      <w:r>
        <w:rPr>
          <w:rFonts w:hint="eastAsia" w:ascii="仿宋" w:hAnsi="仿宋" w:eastAsia="仿宋" w:cs="仿宋"/>
          <w:b/>
          <w:sz w:val="28"/>
          <w:szCs w:val="28"/>
        </w:rPr>
        <w:t>合格供应商不足三家，予以废标。</w:t>
      </w:r>
    </w:p>
    <w:p>
      <w:pPr>
        <w:pStyle w:val="3"/>
        <w:ind w:firstLine="0" w:firstLineChars="0"/>
        <w:rPr>
          <w:rFonts w:ascii="仿宋" w:hAnsi="仿宋" w:eastAsia="仿宋" w:cs="仿宋"/>
          <w:color w:val="000000" w:themeColor="text1"/>
          <w:sz w:val="28"/>
          <w:szCs w:val="28"/>
          <w14:textFill>
            <w14:solidFill>
              <w14:schemeClr w14:val="tx1"/>
            </w14:solidFill>
          </w14:textFill>
        </w:rPr>
      </w:pPr>
    </w:p>
    <w:p>
      <w:pPr>
        <w:numPr>
          <w:ilvl w:val="0"/>
          <w:numId w:val="1"/>
        </w:numPr>
        <w:jc w:val="left"/>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资格要求、服务要求、商务要求</w:t>
      </w:r>
    </w:p>
    <w:p>
      <w:pPr>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注意：本章采购需求中标注“</w:t>
      </w:r>
      <w:r>
        <w:rPr>
          <w:rFonts w:hint="eastAsia" w:ascii="仿宋" w:hAnsi="仿宋" w:eastAsia="仿宋" w:cs="仿宋"/>
          <w:b/>
          <w:color w:val="000000"/>
          <w:sz w:val="24"/>
        </w:rPr>
        <w:t>※</w:t>
      </w:r>
      <w:r>
        <w:rPr>
          <w:rFonts w:hint="eastAsia" w:ascii="仿宋" w:hAnsi="仿宋" w:eastAsia="仿宋" w:cs="仿宋"/>
          <w:color w:val="000000" w:themeColor="text1"/>
          <w:sz w:val="28"/>
          <w:szCs w:val="28"/>
          <w14:textFill>
            <w14:solidFill>
              <w14:schemeClr w14:val="tx1"/>
            </w14:solidFill>
          </w14:textFill>
        </w:rPr>
        <w:t>”号的条款为本次采购项目的实质性要求，投标人应全部满足，不作为打分项。</w:t>
      </w:r>
    </w:p>
    <w:p>
      <w:pPr>
        <w:pStyle w:val="3"/>
        <w:ind w:firstLine="281"/>
        <w:rPr>
          <w:rFonts w:ascii="仿宋" w:hAnsi="仿宋" w:eastAsia="仿宋" w:cstheme="minorEastAsia"/>
          <w:b/>
          <w:bCs/>
          <w:color w:val="FF0000"/>
          <w:sz w:val="28"/>
          <w:szCs w:val="28"/>
        </w:rPr>
      </w:pPr>
      <w:r>
        <w:rPr>
          <w:rFonts w:hint="eastAsia" w:ascii="仿宋" w:hAnsi="仿宋" w:eastAsia="仿宋" w:cstheme="minorEastAsia"/>
          <w:b/>
          <w:bCs/>
          <w:color w:val="000000" w:themeColor="text1"/>
          <w:sz w:val="28"/>
          <w:szCs w:val="28"/>
          <w14:textFill>
            <w14:solidFill>
              <w14:schemeClr w14:val="tx1"/>
            </w14:solidFill>
          </w14:textFill>
        </w:rPr>
        <w:t>5.1</w:t>
      </w:r>
      <w:r>
        <w:rPr>
          <w:rFonts w:hint="eastAsia" w:ascii="仿宋" w:hAnsi="仿宋" w:eastAsia="仿宋" w:cstheme="minorEastAsia"/>
          <w:b/>
          <w:bCs/>
          <w:sz w:val="28"/>
          <w:szCs w:val="28"/>
        </w:rPr>
        <w:t>资格要求</w:t>
      </w:r>
    </w:p>
    <w:p>
      <w:pPr>
        <w:pStyle w:val="25"/>
        <w:rPr>
          <w:rFonts w:ascii="仿宋_GB2312" w:hAnsi="仿宋_GB2312" w:cs="仿宋_GB2312"/>
          <w:sz w:val="24"/>
        </w:rPr>
      </w:pPr>
      <w:r>
        <w:rPr>
          <w:rFonts w:hint="eastAsia" w:ascii="仿宋_GB2312" w:hAnsi="仿宋_GB2312" w:cs="仿宋_GB2312"/>
          <w:sz w:val="24"/>
        </w:rPr>
        <w:t xml:space="preserve">    1.营业执照：①投标人若为企业法人：提供“统一社会信用代码营业执照”；②若为事业法人：提供“统一社会信用代码法人登记证书”；③若为其他组织：提供“对应主管部门颁发的准许执业证明文件或营业执照”；</w:t>
      </w:r>
      <w:r>
        <w:rPr>
          <w:rFonts w:hint="eastAsia" w:ascii="仿宋" w:hAnsi="仿宋" w:eastAsia="仿宋" w:cs="仿宋"/>
          <w:sz w:val="24"/>
        </w:rPr>
        <w:t>④投标人若为自然人：提供“身份证明材料”。</w:t>
      </w:r>
      <w:r>
        <w:rPr>
          <w:rFonts w:hint="eastAsia" w:ascii="仿宋_GB2312" w:hAnsi="仿宋_GB2312" w:cs="仿宋_GB2312"/>
          <w:sz w:val="24"/>
        </w:rPr>
        <w:t>以上均提供复印件。</w:t>
      </w:r>
    </w:p>
    <w:p>
      <w:pPr>
        <w:pStyle w:val="25"/>
        <w:rPr>
          <w:rFonts w:ascii="仿宋_GB2312" w:hAnsi="仿宋_GB2312" w:cs="仿宋_GB2312"/>
          <w:sz w:val="24"/>
        </w:rPr>
      </w:pPr>
      <w:r>
        <w:rPr>
          <w:rFonts w:hint="eastAsia" w:ascii="仿宋_GB2312" w:hAnsi="仿宋_GB2312" w:cs="仿宋_GB2312"/>
          <w:bCs/>
          <w:sz w:val="24"/>
        </w:rPr>
        <w:t xml:space="preserve">    2.体现健全的财务制度的证明材料：①可提供2018-2020年度（任意一年）经审计的财务报告复印件（包含审计报告和审计报告中所涉及的财务报表和报表附注）；②也可提供2018-2020年度（任意一年）投标人内部的财务报表复印件（至少包含资产负债表）；③也可提供距文件递交截止日一年内银行出具的资信证明（复印件）；④投标人注册时间至文件递交截止日不足一年的，也可提供在工商备案的公司章程（复印件）；⑤非营利性单位或者社会团体或者其他机关事业单位以符合财务会计制度为准或者提供承诺函（格式自拟）；⑥供应商为自然人的提供承诺函（格式自拟）。</w:t>
      </w:r>
    </w:p>
    <w:p>
      <w:pPr>
        <w:pStyle w:val="25"/>
        <w:rPr>
          <w:rFonts w:ascii="仿宋_GB2312" w:hAnsi="仿宋_GB2312" w:cs="仿宋_GB2312"/>
          <w:sz w:val="24"/>
        </w:rPr>
      </w:pPr>
      <w:r>
        <w:rPr>
          <w:rFonts w:hint="eastAsia" w:ascii="仿宋_GB2312" w:hAnsi="仿宋_GB2312" w:cs="仿宋_GB2312"/>
          <w:sz w:val="24"/>
        </w:rPr>
        <w:t xml:space="preserve">    3.提供投标人单位及其现任法定代表人、主要负责人在参加政府采购活动前三年内无行贿犯罪记录的承诺函（</w:t>
      </w:r>
      <w:r>
        <w:rPr>
          <w:rFonts w:hint="eastAsia" w:ascii="仿宋_GB2312" w:hAnsi="仿宋_GB2312" w:cs="仿宋_GB2312"/>
          <w:b/>
          <w:bCs/>
          <w:sz w:val="24"/>
        </w:rPr>
        <w:t>注：</w:t>
      </w:r>
      <w:r>
        <w:rPr>
          <w:rFonts w:hint="eastAsia" w:ascii="仿宋_GB2312" w:hAnsi="仿宋_GB2312" w:cs="仿宋_GB2312"/>
          <w:sz w:val="24"/>
        </w:rPr>
        <w:t>如经核实属虚假承诺的，将做无效投标处理）。</w:t>
      </w:r>
    </w:p>
    <w:p>
      <w:pPr>
        <w:pStyle w:val="25"/>
        <w:rPr>
          <w:rFonts w:ascii="仿宋_GB2312" w:hAnsi="仿宋_GB2312" w:cs="仿宋_GB2312"/>
          <w:sz w:val="24"/>
          <w:highlight w:val="yellow"/>
        </w:rPr>
      </w:pPr>
      <w:r>
        <w:rPr>
          <w:rFonts w:hint="eastAsia" w:ascii="仿宋_GB2312" w:hAnsi="仿宋_GB2312" w:cs="仿宋_GB2312"/>
          <w:sz w:val="24"/>
        </w:rPr>
        <w:t xml:space="preserve">    4.投标人须提供依法缴纳税收和社会保障资金的承诺函原件或者近三个月依法缴纳税收和社会保障资金的证明材料复印件。</w:t>
      </w:r>
    </w:p>
    <w:p>
      <w:pPr>
        <w:pStyle w:val="25"/>
        <w:rPr>
          <w:rFonts w:ascii="仿宋_GB2312" w:hAnsi="仿宋_GB2312" w:cs="仿宋_GB2312"/>
          <w:sz w:val="24"/>
        </w:rPr>
      </w:pPr>
      <w:r>
        <w:rPr>
          <w:rFonts w:hint="eastAsia" w:ascii="仿宋_GB2312" w:hAnsi="仿宋_GB2312" w:cs="仿宋_GB2312"/>
          <w:sz w:val="24"/>
        </w:rPr>
        <w:t xml:space="preserve">    5.法定代表人身份证复印件。</w:t>
      </w:r>
    </w:p>
    <w:p>
      <w:pPr>
        <w:pStyle w:val="25"/>
        <w:rPr>
          <w:rFonts w:ascii="仿宋" w:hAnsi="仿宋" w:eastAsia="仿宋" w:cstheme="minorEastAsia"/>
          <w:color w:val="000000" w:themeColor="text1"/>
          <w:szCs w:val="28"/>
          <w:highlight w:val="yellow"/>
          <w14:textFill>
            <w14:solidFill>
              <w14:schemeClr w14:val="tx1"/>
            </w14:solidFill>
          </w14:textFill>
        </w:rPr>
      </w:pPr>
      <w:r>
        <w:rPr>
          <w:rFonts w:hint="eastAsia" w:ascii="仿宋_GB2312" w:hAnsi="仿宋_GB2312" w:cs="仿宋_GB2312"/>
          <w:sz w:val="24"/>
        </w:rPr>
        <w:t xml:space="preserve">    6.法定代表人授权书（格式4）原件和授权代表身份证复印件（投标人代表为非法定代表人时提供）。</w:t>
      </w:r>
    </w:p>
    <w:p>
      <w:pPr>
        <w:pStyle w:val="3"/>
        <w:ind w:firstLine="281"/>
        <w:rPr>
          <w:rFonts w:ascii="仿宋" w:hAnsi="仿宋" w:eastAsia="仿宋" w:cstheme="minorEastAsia"/>
          <w:b/>
          <w:bCs/>
          <w:color w:val="000000" w:themeColor="text1"/>
          <w:sz w:val="28"/>
          <w:szCs w:val="28"/>
          <w14:textFill>
            <w14:solidFill>
              <w14:schemeClr w14:val="tx1"/>
            </w14:solidFill>
          </w14:textFill>
        </w:rPr>
      </w:pPr>
      <w:r>
        <w:rPr>
          <w:rFonts w:hint="eastAsia" w:ascii="仿宋" w:hAnsi="仿宋" w:eastAsia="仿宋" w:cstheme="minorEastAsia"/>
          <w:b/>
          <w:bCs/>
          <w:color w:val="000000" w:themeColor="text1"/>
          <w:sz w:val="28"/>
          <w:szCs w:val="28"/>
          <w14:textFill>
            <w14:solidFill>
              <w14:schemeClr w14:val="tx1"/>
            </w14:solidFill>
          </w14:textFill>
        </w:rPr>
        <w:t>5.2</w:t>
      </w:r>
      <w:r>
        <w:rPr>
          <w:rFonts w:ascii="仿宋" w:hAnsi="仿宋" w:eastAsia="仿宋" w:cstheme="minorEastAsia"/>
          <w:b/>
          <w:bCs/>
          <w:color w:val="000000" w:themeColor="text1"/>
          <w:sz w:val="28"/>
          <w:szCs w:val="28"/>
          <w14:textFill>
            <w14:solidFill>
              <w14:schemeClr w14:val="tx1"/>
            </w14:solidFill>
          </w14:textFill>
        </w:rPr>
        <w:t xml:space="preserve"> </w:t>
      </w:r>
      <w:r>
        <w:rPr>
          <w:rFonts w:hint="eastAsia" w:ascii="仿宋" w:hAnsi="仿宋" w:eastAsia="仿宋" w:cstheme="minorEastAsia"/>
          <w:b/>
          <w:bCs/>
          <w:color w:val="000000" w:themeColor="text1"/>
          <w:sz w:val="28"/>
          <w:szCs w:val="28"/>
          <w14:textFill>
            <w14:solidFill>
              <w14:schemeClr w14:val="tx1"/>
            </w14:solidFill>
          </w14:textFill>
        </w:rPr>
        <w:t>服务要求</w:t>
      </w:r>
    </w:p>
    <w:p>
      <w:pPr>
        <w:ind w:firstLine="482" w:firstLineChars="200"/>
        <w:jc w:val="left"/>
        <w:rPr>
          <w:rFonts w:ascii="仿宋" w:hAnsi="仿宋" w:eastAsia="仿宋" w:cs="仿宋"/>
          <w:b/>
          <w:bCs/>
          <w:sz w:val="24"/>
        </w:rPr>
      </w:pPr>
      <w:r>
        <w:rPr>
          <w:rFonts w:hint="eastAsia" w:ascii="仿宋" w:hAnsi="仿宋" w:eastAsia="仿宋" w:cs="仿宋"/>
          <w:b/>
          <w:bCs/>
          <w:sz w:val="24"/>
        </w:rPr>
        <w:t>（一）服务清单</w:t>
      </w:r>
    </w:p>
    <w:tbl>
      <w:tblPr>
        <w:tblStyle w:val="11"/>
        <w:tblW w:w="5156" w:type="pct"/>
        <w:tblInd w:w="-1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8"/>
        <w:gridCol w:w="2458"/>
        <w:gridCol w:w="5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443" w:type="pct"/>
            <w:vAlign w:val="center"/>
          </w:tcPr>
          <w:p>
            <w:pPr>
              <w:widowControl/>
              <w:spacing w:line="360" w:lineRule="auto"/>
              <w:jc w:val="center"/>
              <w:rPr>
                <w:rFonts w:ascii="仿宋" w:hAnsi="仿宋" w:eastAsia="仿宋" w:cs="仿宋"/>
                <w:b/>
                <w:bCs/>
                <w:sz w:val="24"/>
              </w:rPr>
            </w:pPr>
            <w:r>
              <w:rPr>
                <w:rFonts w:hint="eastAsia" w:ascii="仿宋" w:hAnsi="仿宋" w:eastAsia="仿宋" w:cs="仿宋"/>
                <w:b/>
                <w:bCs/>
                <w:sz w:val="24"/>
              </w:rPr>
              <w:t>序号</w:t>
            </w:r>
          </w:p>
        </w:tc>
        <w:tc>
          <w:tcPr>
            <w:tcW w:w="1398" w:type="pct"/>
            <w:vAlign w:val="center"/>
          </w:tcPr>
          <w:p>
            <w:pPr>
              <w:widowControl/>
              <w:spacing w:line="360" w:lineRule="auto"/>
              <w:jc w:val="center"/>
              <w:rPr>
                <w:rFonts w:ascii="仿宋" w:hAnsi="仿宋" w:eastAsia="仿宋" w:cs="仿宋"/>
                <w:b/>
                <w:bCs/>
                <w:sz w:val="24"/>
              </w:rPr>
            </w:pPr>
            <w:r>
              <w:rPr>
                <w:rFonts w:hint="eastAsia" w:ascii="仿宋" w:hAnsi="仿宋" w:eastAsia="仿宋" w:cs="仿宋"/>
                <w:b/>
                <w:bCs/>
                <w:sz w:val="24"/>
              </w:rPr>
              <w:t>服务名称</w:t>
            </w:r>
          </w:p>
        </w:tc>
        <w:tc>
          <w:tcPr>
            <w:tcW w:w="3158" w:type="pct"/>
          </w:tcPr>
          <w:p>
            <w:pPr>
              <w:widowControl/>
              <w:spacing w:line="360" w:lineRule="auto"/>
              <w:jc w:val="center"/>
              <w:rPr>
                <w:rFonts w:ascii="仿宋" w:hAnsi="仿宋" w:eastAsia="仿宋" w:cs="仿宋"/>
                <w:b/>
                <w:bCs/>
                <w:sz w:val="24"/>
              </w:rPr>
            </w:pPr>
            <w:r>
              <w:rPr>
                <w:rFonts w:hint="eastAsia" w:ascii="仿宋" w:hAnsi="仿宋" w:eastAsia="仿宋" w:cs="仿宋"/>
                <w:b/>
                <w:bCs/>
                <w:sz w:val="24"/>
              </w:rPr>
              <w:t>报价说明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1" w:hRule="atLeast"/>
        </w:trPr>
        <w:tc>
          <w:tcPr>
            <w:tcW w:w="443" w:type="pct"/>
            <w:vAlign w:val="center"/>
          </w:tcPr>
          <w:p>
            <w:pPr>
              <w:widowControl/>
              <w:spacing w:line="360" w:lineRule="auto"/>
              <w:jc w:val="center"/>
              <w:rPr>
                <w:rFonts w:ascii="仿宋" w:hAnsi="仿宋" w:eastAsia="仿宋" w:cs="仿宋"/>
                <w:sz w:val="24"/>
              </w:rPr>
            </w:pPr>
            <w:r>
              <w:rPr>
                <w:rFonts w:hint="eastAsia" w:ascii="仿宋" w:hAnsi="仿宋" w:eastAsia="仿宋" w:cs="仿宋"/>
                <w:sz w:val="24"/>
              </w:rPr>
              <w:t>1</w:t>
            </w:r>
          </w:p>
        </w:tc>
        <w:tc>
          <w:tcPr>
            <w:tcW w:w="1398" w:type="pct"/>
            <w:vAlign w:val="center"/>
          </w:tcPr>
          <w:p>
            <w:pPr>
              <w:widowControl/>
              <w:spacing w:line="360" w:lineRule="auto"/>
              <w:jc w:val="center"/>
              <w:rPr>
                <w:rFonts w:ascii="仿宋" w:hAnsi="仿宋" w:eastAsia="仿宋" w:cs="仿宋"/>
                <w:sz w:val="24"/>
              </w:rPr>
            </w:pPr>
            <w:r>
              <w:rPr>
                <w:rFonts w:hint="eastAsia" w:ascii="仿宋" w:hAnsi="仿宋" w:eastAsia="仿宋" w:cs="仿宋"/>
                <w:color w:val="000000"/>
                <w:sz w:val="24"/>
              </w:rPr>
              <w:t>信息设备现场维护维修服务</w:t>
            </w:r>
          </w:p>
        </w:tc>
        <w:tc>
          <w:tcPr>
            <w:tcW w:w="3158" w:type="pct"/>
          </w:tcPr>
          <w:p>
            <w:pPr>
              <w:widowControl/>
              <w:spacing w:line="360" w:lineRule="auto"/>
              <w:jc w:val="left"/>
              <w:rPr>
                <w:rFonts w:ascii="仿宋" w:hAnsi="仿宋" w:eastAsia="仿宋" w:cs="仿宋"/>
                <w:color w:val="000000"/>
                <w:sz w:val="24"/>
              </w:rPr>
            </w:pPr>
            <w:r>
              <w:rPr>
                <w:rFonts w:hint="eastAsia" w:ascii="仿宋" w:hAnsi="仿宋" w:eastAsia="仿宋" w:cs="仿宋"/>
                <w:color w:val="000000"/>
                <w:sz w:val="24"/>
              </w:rPr>
              <w:t>此项报价应为包干价，投标人承担现场服务人员交通、食宿、人员奖金、工伤在内的一切支出。维护范围内单价200元以下的信息设备配件免费更换。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443" w:type="pct"/>
            <w:vAlign w:val="center"/>
          </w:tcPr>
          <w:p>
            <w:pPr>
              <w:widowControl/>
              <w:spacing w:line="360" w:lineRule="auto"/>
              <w:jc w:val="center"/>
              <w:rPr>
                <w:rFonts w:ascii="仿宋" w:hAnsi="仿宋" w:eastAsia="仿宋" w:cs="仿宋"/>
                <w:sz w:val="24"/>
              </w:rPr>
            </w:pPr>
            <w:r>
              <w:rPr>
                <w:rFonts w:hint="eastAsia" w:ascii="仿宋" w:hAnsi="仿宋" w:eastAsia="仿宋" w:cs="仿宋"/>
                <w:sz w:val="24"/>
              </w:rPr>
              <w:t>2</w:t>
            </w:r>
          </w:p>
        </w:tc>
        <w:tc>
          <w:tcPr>
            <w:tcW w:w="1398" w:type="pct"/>
            <w:vAlign w:val="center"/>
          </w:tcPr>
          <w:p>
            <w:pPr>
              <w:pStyle w:val="5"/>
              <w:spacing w:line="360" w:lineRule="auto"/>
              <w:ind w:firstLine="0"/>
              <w:jc w:val="center"/>
              <w:rPr>
                <w:rFonts w:ascii="仿宋" w:hAnsi="仿宋" w:eastAsia="仿宋" w:cs="仿宋"/>
                <w:bCs/>
                <w:sz w:val="24"/>
              </w:rPr>
            </w:pPr>
            <w:r>
              <w:rPr>
                <w:rFonts w:hint="eastAsia" w:ascii="仿宋" w:hAnsi="仿宋" w:eastAsia="仿宋" w:cs="仿宋"/>
                <w:color w:val="000000"/>
                <w:sz w:val="24"/>
              </w:rPr>
              <w:t>信息设备维修配件和网络布点辅助材料</w:t>
            </w:r>
          </w:p>
        </w:tc>
        <w:tc>
          <w:tcPr>
            <w:tcW w:w="3158" w:type="pct"/>
          </w:tcPr>
          <w:p>
            <w:pPr>
              <w:pStyle w:val="5"/>
              <w:spacing w:line="360" w:lineRule="auto"/>
              <w:ind w:firstLine="0"/>
              <w:jc w:val="center"/>
              <w:rPr>
                <w:rFonts w:ascii="仿宋" w:hAnsi="仿宋" w:eastAsia="仿宋" w:cs="仿宋"/>
                <w:color w:val="000000"/>
                <w:sz w:val="24"/>
              </w:rPr>
            </w:pPr>
            <w:r>
              <w:rPr>
                <w:rFonts w:hint="eastAsia" w:ascii="仿宋" w:hAnsi="仿宋" w:eastAsia="仿宋" w:cs="仿宋"/>
                <w:color w:val="000000"/>
                <w:sz w:val="24"/>
              </w:rPr>
              <w:t>对招标文件中“信息配件和网络布点辅助材料清单”中的项目进</w:t>
            </w:r>
            <w:r>
              <w:rPr>
                <w:rFonts w:hint="eastAsia" w:ascii="仿宋" w:hAnsi="仿宋" w:eastAsia="仿宋" w:cs="仿宋"/>
                <w:sz w:val="24"/>
              </w:rPr>
              <w:t>行折扣报价</w:t>
            </w:r>
            <w:r>
              <w:rPr>
                <w:rFonts w:hint="eastAsia" w:ascii="仿宋" w:hAnsi="仿宋" w:eastAsia="仿宋" w:cs="仿宋"/>
                <w:color w:val="000000"/>
                <w:sz w:val="24"/>
              </w:rPr>
              <w:t>。</w:t>
            </w:r>
          </w:p>
        </w:tc>
      </w:tr>
    </w:tbl>
    <w:p>
      <w:pPr>
        <w:pStyle w:val="2"/>
        <w:ind w:firstLine="480" w:firstLineChars="200"/>
      </w:pPr>
      <w:r>
        <w:rPr>
          <w:rFonts w:hint="eastAsia" w:ascii="仿宋_GB2312" w:hAnsi="仿宋_GB2312" w:eastAsia="仿宋_GB2312" w:cs="仿宋_GB2312"/>
          <w:sz w:val="24"/>
        </w:rPr>
        <w:t>注：投标人为采购单位硬件产品提供一般的维护服务。</w:t>
      </w:r>
    </w:p>
    <w:p>
      <w:pPr>
        <w:ind w:firstLine="482" w:firstLineChars="200"/>
        <w:jc w:val="left"/>
        <w:rPr>
          <w:rFonts w:ascii="仿宋" w:hAnsi="仿宋" w:eastAsia="仿宋" w:cs="仿宋"/>
          <w:b/>
          <w:bCs/>
          <w:sz w:val="24"/>
        </w:rPr>
      </w:pPr>
      <w:r>
        <w:rPr>
          <w:rFonts w:hint="eastAsia" w:ascii="仿宋" w:hAnsi="仿宋" w:eastAsia="仿宋" w:cs="仿宋"/>
          <w:b/>
          <w:bCs/>
          <w:sz w:val="24"/>
        </w:rPr>
        <w:t>（二）服务要求</w:t>
      </w:r>
    </w:p>
    <w:p>
      <w:pPr>
        <w:spacing w:line="360" w:lineRule="auto"/>
        <w:ind w:firstLine="720" w:firstLineChars="300"/>
        <w:jc w:val="left"/>
        <w:rPr>
          <w:rFonts w:ascii="仿宋" w:hAnsi="仿宋" w:eastAsia="仿宋" w:cs="仿宋"/>
          <w:sz w:val="24"/>
        </w:rPr>
      </w:pPr>
      <w:r>
        <w:rPr>
          <w:rFonts w:hint="eastAsia" w:ascii="仿宋" w:hAnsi="仿宋" w:eastAsia="仿宋" w:cs="仿宋"/>
          <w:sz w:val="24"/>
        </w:rPr>
        <w:t>1.现场维护技术人员要求</w:t>
      </w:r>
    </w:p>
    <w:p>
      <w:pPr>
        <w:spacing w:line="360" w:lineRule="auto"/>
        <w:ind w:firstLine="723" w:firstLineChars="300"/>
        <w:jc w:val="left"/>
        <w:rPr>
          <w:rFonts w:ascii="仿宋" w:hAnsi="仿宋" w:eastAsia="仿宋" w:cs="仿宋"/>
          <w:sz w:val="24"/>
        </w:rPr>
      </w:pPr>
      <w:r>
        <w:rPr>
          <w:rFonts w:hint="eastAsia" w:ascii="仿宋" w:hAnsi="仿宋" w:eastAsia="仿宋" w:cs="仿宋"/>
          <w:b/>
          <w:color w:val="000000"/>
          <w:sz w:val="24"/>
        </w:rPr>
        <w:t>※</w:t>
      </w:r>
      <w:r>
        <w:rPr>
          <w:rFonts w:hint="eastAsia" w:ascii="仿宋" w:hAnsi="仿宋" w:eastAsia="仿宋" w:cs="仿宋"/>
          <w:sz w:val="24"/>
        </w:rPr>
        <w:t>1.1投标人需安排1名技术服务人员在采购</w:t>
      </w:r>
      <w:bookmarkStart w:id="1" w:name="_GoBack"/>
      <w:bookmarkEnd w:id="1"/>
      <w:r>
        <w:rPr>
          <w:rFonts w:hint="eastAsia" w:ascii="仿宋" w:hAnsi="仿宋" w:eastAsia="仿宋" w:cs="仿宋"/>
          <w:sz w:val="24"/>
        </w:rPr>
        <w:t>单位提供各类信息设备硬件维修维护。要求投标人技术服务人员在接到采购人电话通知，在采购人行政岗工作时间40分钟内到场，休息时间及节假日2小时内到场。</w:t>
      </w:r>
    </w:p>
    <w:p>
      <w:pPr>
        <w:spacing w:line="360" w:lineRule="auto"/>
        <w:ind w:firstLine="482" w:firstLineChars="200"/>
        <w:jc w:val="left"/>
        <w:rPr>
          <w:rFonts w:ascii="仿宋" w:hAnsi="仿宋" w:eastAsia="仿宋" w:cs="仿宋"/>
          <w:sz w:val="24"/>
        </w:rPr>
      </w:pPr>
      <w:r>
        <w:rPr>
          <w:rFonts w:hint="eastAsia" w:ascii="仿宋" w:hAnsi="仿宋" w:eastAsia="仿宋" w:cs="仿宋"/>
          <w:b/>
          <w:color w:val="000000"/>
          <w:sz w:val="24"/>
        </w:rPr>
        <w:t>※</w:t>
      </w:r>
      <w:r>
        <w:rPr>
          <w:rFonts w:hint="eastAsia" w:ascii="仿宋" w:hAnsi="仿宋" w:eastAsia="仿宋" w:cs="仿宋"/>
          <w:sz w:val="24"/>
        </w:rPr>
        <w:t>1.2技术维护人员要求；（</w:t>
      </w:r>
      <w:r>
        <w:rPr>
          <w:rFonts w:ascii="仿宋" w:hAnsi="仿宋" w:eastAsia="仿宋" w:cs="仿宋"/>
          <w:sz w:val="24"/>
        </w:rPr>
        <w:t>1</w:t>
      </w:r>
      <w:r>
        <w:rPr>
          <w:rFonts w:hint="eastAsia" w:ascii="仿宋" w:hAnsi="仿宋" w:eastAsia="仿宋" w:cs="仿宋"/>
          <w:sz w:val="24"/>
        </w:rPr>
        <w:t>）需熟悉医院H</w:t>
      </w:r>
      <w:r>
        <w:rPr>
          <w:rFonts w:ascii="仿宋" w:hAnsi="仿宋" w:eastAsia="仿宋" w:cs="仿宋"/>
          <w:sz w:val="24"/>
        </w:rPr>
        <w:t>IS</w:t>
      </w:r>
      <w:r>
        <w:rPr>
          <w:rFonts w:hint="eastAsia" w:ascii="仿宋" w:hAnsi="仿宋" w:eastAsia="仿宋" w:cs="仿宋"/>
          <w:sz w:val="24"/>
        </w:rPr>
        <w:t>的常规问题点解决和维护；（</w:t>
      </w:r>
      <w:r>
        <w:rPr>
          <w:rFonts w:ascii="仿宋" w:hAnsi="仿宋" w:eastAsia="仿宋" w:cs="仿宋"/>
          <w:sz w:val="24"/>
        </w:rPr>
        <w:t>2</w:t>
      </w:r>
      <w:r>
        <w:rPr>
          <w:rFonts w:hint="eastAsia" w:ascii="仿宋" w:hAnsi="仿宋" w:eastAsia="仿宋" w:cs="仿宋"/>
          <w:sz w:val="24"/>
        </w:rPr>
        <w:t>）能完成PCAS桌面端 (影像工作站、预约系统、分诊系统等)的使用及维护，能完成PACS服务器端维护及故障解决，能完成PACS软件各种图片传输服务；（</w:t>
      </w:r>
      <w:r>
        <w:rPr>
          <w:rFonts w:ascii="仿宋" w:hAnsi="仿宋" w:eastAsia="仿宋" w:cs="仿宋"/>
          <w:sz w:val="24"/>
        </w:rPr>
        <w:t>3</w:t>
      </w:r>
      <w:r>
        <w:rPr>
          <w:rFonts w:hint="eastAsia" w:ascii="仿宋" w:hAnsi="仿宋" w:eastAsia="仿宋" w:cs="仿宋"/>
          <w:sz w:val="24"/>
        </w:rPr>
        <w:t>）需熟悉省、市医保软件硬件环境，能排除医保软件硬件故障，能完成医保业务日常软硬件维护；（</w:t>
      </w:r>
      <w:r>
        <w:rPr>
          <w:rFonts w:ascii="仿宋" w:hAnsi="仿宋" w:eastAsia="仿宋" w:cs="仿宋"/>
          <w:sz w:val="24"/>
        </w:rPr>
        <w:t>4</w:t>
      </w:r>
      <w:r>
        <w:rPr>
          <w:rFonts w:hint="eastAsia" w:ascii="仿宋" w:hAnsi="仿宋" w:eastAsia="仿宋" w:cs="仿宋"/>
          <w:sz w:val="24"/>
        </w:rPr>
        <w:t>）需熟悉医院网络拓扑图，能通过检查网线、网络连接点、网卡、服务器以及集线器、交换机等网络设备找出故障点给予排除；（</w:t>
      </w:r>
      <w:r>
        <w:rPr>
          <w:rFonts w:ascii="仿宋" w:hAnsi="仿宋" w:eastAsia="仿宋" w:cs="仿宋"/>
          <w:sz w:val="24"/>
        </w:rPr>
        <w:t>5</w:t>
      </w:r>
      <w:r>
        <w:rPr>
          <w:rFonts w:hint="eastAsia" w:ascii="仿宋" w:hAnsi="仿宋" w:eastAsia="仿宋" w:cs="仿宋"/>
          <w:sz w:val="24"/>
        </w:rPr>
        <w:t>）需熟悉医院常见各类型终端及外设的配置，能完成各类型医疗专业软件的安装及调试，能完成各类激光、喷墨、热敏、针式等打印机和复印机及各种外设的维护和维修；（6）熟悉Windows、Windowsserve、Linux等操作系统的安装制作及优化。</w:t>
      </w:r>
    </w:p>
    <w:p>
      <w:pPr>
        <w:pStyle w:val="2"/>
        <w:ind w:firstLine="482" w:firstLineChars="200"/>
        <w:rPr>
          <w:rFonts w:ascii="仿宋" w:hAnsi="仿宋" w:eastAsia="仿宋" w:cs="仿宋"/>
          <w:sz w:val="24"/>
          <w:szCs w:val="22"/>
        </w:rPr>
      </w:pPr>
      <w:r>
        <w:rPr>
          <w:rFonts w:hint="eastAsia" w:ascii="仿宋" w:hAnsi="仿宋" w:eastAsia="仿宋" w:cs="仿宋"/>
          <w:b/>
          <w:color w:val="000000"/>
          <w:sz w:val="24"/>
        </w:rPr>
        <w:t>※</w:t>
      </w:r>
      <w:r>
        <w:rPr>
          <w:rFonts w:hint="eastAsia" w:ascii="仿宋" w:hAnsi="仿宋" w:eastAsia="仿宋" w:cs="仿宋"/>
          <w:sz w:val="24"/>
          <w:szCs w:val="22"/>
        </w:rPr>
        <w:t>1.3 提供资料中应包含技术维护人员名单和工作经历简介。</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2.硬件维修，投标人需要在精医中心常备各种电脑、打印机易损坏配件，维修完成前供相关科室使用。</w:t>
      </w:r>
    </w:p>
    <w:p>
      <w:pPr>
        <w:pStyle w:val="3"/>
        <w:ind w:firstLine="0" w:firstLineChars="0"/>
        <w:rPr>
          <w:rFonts w:ascii="仿宋" w:hAnsi="仿宋" w:eastAsia="仿宋" w:cs="仿宋"/>
          <w:sz w:val="24"/>
        </w:rPr>
      </w:pPr>
      <w:r>
        <w:rPr>
          <w:rFonts w:hint="eastAsia" w:ascii="仿宋" w:hAnsi="仿宋" w:eastAsia="仿宋" w:cs="仿宋"/>
          <w:sz w:val="24"/>
          <w:szCs w:val="22"/>
        </w:rPr>
        <w:t xml:space="preserve"> </w:t>
      </w:r>
      <w:r>
        <w:rPr>
          <w:rFonts w:hint="eastAsia" w:ascii="仿宋" w:hAnsi="仿宋" w:eastAsia="仿宋" w:cs="仿宋"/>
          <w:b/>
          <w:color w:val="000000"/>
          <w:sz w:val="24"/>
        </w:rPr>
        <w:t>※</w:t>
      </w:r>
      <w:r>
        <w:rPr>
          <w:rFonts w:hint="eastAsia" w:ascii="仿宋" w:hAnsi="仿宋" w:eastAsia="仿宋" w:cs="仿宋"/>
          <w:sz w:val="24"/>
          <w:szCs w:val="22"/>
        </w:rPr>
        <w:t xml:space="preserve"> 3.</w:t>
      </w:r>
      <w:r>
        <w:rPr>
          <w:rFonts w:hint="eastAsia" w:ascii="仿宋" w:hAnsi="仿宋" w:eastAsia="仿宋" w:cs="仿宋"/>
          <w:sz w:val="24"/>
        </w:rPr>
        <w:t>送修服务，中心信息设备中还在维保期内故障的，需要投标人提供送修服务，送修、取回过程中保证资产安全，信息保密。</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4.须具备完整服务体系，确保维保服务工作顺利完成。详细说明投标人服务体系、服务流程提供相关证明材料。</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5.须具有经验丰富的技术服务人员，为采购人提供硬件设备维修、维护等服务，确保高质量的人员检修能力、服务响应的及时性、处理故障的高效性，详细说明服务人员的技术情况。</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6.明确说明针对本次维保的备件保证措施，提供相应的证明材料。</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7.针对本次招标内容提供详细完整的服务方案。应包括服务方式、保障体系、备件保证及响应时间、本地服务机构保证等。</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8.必须提供及时技术服务、备件服务、现场服务。在成都市设有办事机构。采购人设备出现任何问题和故障，采购人认为有必要投标人技术人员到现场支持时，投标人应按规定要求赶到现场。</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9.每次巡检和故障处理要做到详细记录、交接明确，并且形成长期的历史数据资料库。</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10.应急保障服务：配合投标人进行应急处置演练。确保实际发生严重故障时，能在最短时间内恢复运行。</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11.在维护过程中，因措施不当（设备本身问题除外）导致硬件损坏或数据丢失，造成的损失由维护方负责，并恢复原本功能与数据。未能修复的按照原价或业主单位委托的有相关资质的第三方机构鉴定结果赔偿。</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12.电话响应服务：全天电话响应（7×24小时，含法定节假日）。</w:t>
      </w:r>
    </w:p>
    <w:p>
      <w:pPr>
        <w:pStyle w:val="7"/>
        <w:tabs>
          <w:tab w:val="left" w:pos="600"/>
        </w:tabs>
        <w:spacing w:line="360" w:lineRule="auto"/>
        <w:ind w:left="0" w:leftChars="0" w:firstLine="480" w:firstLineChars="200"/>
        <w:rPr>
          <w:rFonts w:ascii="仿宋_GB2312" w:hAnsi="仿宋_GB2312" w:cs="仿宋_GB2312"/>
          <w:sz w:val="24"/>
          <w:lang w:val="en-US"/>
        </w:rPr>
      </w:pPr>
      <w:r>
        <w:rPr>
          <w:rFonts w:hint="eastAsia" w:ascii="仿宋" w:hAnsi="仿宋" w:eastAsia="仿宋" w:cs="仿宋"/>
          <w:sz w:val="24"/>
          <w:szCs w:val="22"/>
        </w:rPr>
        <w:t>13</w:t>
      </w:r>
      <w:r>
        <w:rPr>
          <w:rFonts w:hint="eastAsia" w:ascii="仿宋" w:hAnsi="仿宋" w:eastAsia="仿宋" w:cs="仿宋"/>
          <w:sz w:val="24"/>
          <w:szCs w:val="22"/>
          <w:lang w:val="en-US"/>
        </w:rPr>
        <w:t>.</w:t>
      </w:r>
      <w:r>
        <w:rPr>
          <w:rFonts w:hint="eastAsia" w:ascii="仿宋" w:hAnsi="仿宋" w:eastAsia="仿宋" w:cs="仿宋"/>
          <w:sz w:val="24"/>
          <w:szCs w:val="22"/>
        </w:rPr>
        <w:t>现场响应服务：对于电话响应不能确认原因的故障，应按要求提供现场支持服务，安排经验丰富的技术支持工程师赴现场分析并解决。</w:t>
      </w:r>
    </w:p>
    <w:p>
      <w:pPr>
        <w:pStyle w:val="3"/>
        <w:ind w:firstLine="241"/>
        <w:rPr>
          <w:rFonts w:ascii="仿宋" w:hAnsi="仿宋" w:eastAsia="仿宋" w:cstheme="minorEastAsia"/>
          <w:b/>
          <w:bCs/>
          <w:color w:val="000000" w:themeColor="text1"/>
          <w:sz w:val="28"/>
          <w:szCs w:val="28"/>
          <w14:textFill>
            <w14:solidFill>
              <w14:schemeClr w14:val="tx1"/>
            </w14:solidFill>
          </w14:textFill>
        </w:rPr>
      </w:pPr>
      <w:r>
        <w:rPr>
          <w:rFonts w:hint="eastAsia" w:ascii="仿宋" w:hAnsi="仿宋" w:eastAsia="仿宋" w:cs="仿宋"/>
          <w:b/>
          <w:color w:val="000000"/>
          <w:sz w:val="24"/>
        </w:rPr>
        <w:t>※</w:t>
      </w:r>
      <w:r>
        <w:rPr>
          <w:rFonts w:hint="eastAsia" w:ascii="仿宋" w:hAnsi="仿宋" w:eastAsia="仿宋" w:cstheme="minorEastAsia"/>
          <w:b/>
          <w:bCs/>
          <w:color w:val="000000" w:themeColor="text1"/>
          <w:sz w:val="28"/>
          <w:szCs w:val="28"/>
          <w14:textFill>
            <w14:solidFill>
              <w14:schemeClr w14:val="tx1"/>
            </w14:solidFill>
          </w14:textFill>
        </w:rPr>
        <w:t>5.3 商务要求</w:t>
      </w:r>
    </w:p>
    <w:p>
      <w:pPr>
        <w:spacing w:line="360" w:lineRule="auto"/>
        <w:ind w:firstLine="480" w:firstLineChars="200"/>
        <w:rPr>
          <w:rFonts w:ascii="仿宋" w:hAnsi="仿宋" w:eastAsia="仿宋" w:cs="仿宋"/>
          <w:b/>
          <w:bCs/>
          <w:sz w:val="24"/>
        </w:rPr>
      </w:pPr>
      <w:r>
        <w:rPr>
          <w:rFonts w:hint="eastAsia" w:ascii="仿宋" w:hAnsi="仿宋" w:eastAsia="仿宋" w:cs="仿宋"/>
          <w:color w:val="000000"/>
          <w:sz w:val="24"/>
        </w:rPr>
        <w:t>1.</w:t>
      </w:r>
      <w:r>
        <w:rPr>
          <w:rFonts w:hint="eastAsia" w:ascii="仿宋" w:hAnsi="仿宋" w:eastAsia="仿宋" w:cs="仿宋"/>
          <w:b/>
          <w:bCs/>
          <w:spacing w:val="1"/>
          <w:sz w:val="24"/>
        </w:rPr>
        <w:t>信息设备现场维护维修服务包含</w:t>
      </w:r>
      <w:r>
        <w:rPr>
          <w:rFonts w:hint="eastAsia" w:ascii="仿宋" w:hAnsi="仿宋" w:eastAsia="仿宋" w:cs="仿宋"/>
          <w:color w:val="000000"/>
          <w:sz w:val="24"/>
        </w:rPr>
        <w:t>维护范围内单价200元以内的信息设备配件免费更换。结算时</w:t>
      </w:r>
      <w:r>
        <w:rPr>
          <w:rFonts w:hint="eastAsia" w:ascii="仿宋" w:hAnsi="仿宋" w:eastAsia="仿宋" w:cs="仿宋"/>
          <w:b/>
          <w:bCs/>
          <w:spacing w:val="1"/>
          <w:sz w:val="24"/>
        </w:rPr>
        <w:t>信息设备维修配件和网络布点辅助材料，投标人提供基于基准价的整体折扣，市场参考价格乘以折扣所得价格作为信息配件和网络布点辅助材料结算单价。</w:t>
      </w:r>
      <w:r>
        <w:rPr>
          <w:rFonts w:hint="eastAsia" w:ascii="仿宋" w:hAnsi="仿宋" w:eastAsia="仿宋" w:cs="仿宋"/>
          <w:sz w:val="24"/>
        </w:rPr>
        <w:t>实际产生的，未包含在</w:t>
      </w:r>
      <w:r>
        <w:rPr>
          <w:rFonts w:hint="eastAsia" w:ascii="仿宋" w:hAnsi="仿宋" w:eastAsia="仿宋" w:cs="仿宋"/>
          <w:color w:val="000000"/>
          <w:sz w:val="24"/>
        </w:rPr>
        <w:t>报价清单中配件等物资的价格，不高于相同月份京东自营报价。京东不在售的配件，价格不高于原厂报价。</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b/>
          <w:bCs/>
          <w:color w:val="auto"/>
          <w:spacing w:val="1"/>
          <w:sz w:val="24"/>
        </w:rPr>
        <w:t>付款方式：信息设备现场维护维修服务。</w:t>
      </w:r>
      <w:r>
        <w:rPr>
          <w:rFonts w:hint="eastAsia" w:ascii="仿宋" w:hAnsi="仿宋" w:eastAsia="仿宋" w:cs="仿宋"/>
          <w:color w:val="auto"/>
          <w:sz w:val="24"/>
        </w:rPr>
        <w:t>合同签订生效后每季度经信息管理部门在该季度现场维护日志封面签字后，</w:t>
      </w:r>
      <w:r>
        <w:rPr>
          <w:rFonts w:hint="eastAsia" w:ascii="仿宋" w:hAnsi="仿宋" w:eastAsia="仿宋" w:cs="仿宋"/>
          <w:color w:val="auto"/>
          <w:sz w:val="24"/>
          <w:lang w:val="en-US" w:eastAsia="zh-CN"/>
        </w:rPr>
        <w:t>采购人自收到投标人票据资料之日起10个工作日内</w:t>
      </w:r>
      <w:r>
        <w:rPr>
          <w:rFonts w:hint="eastAsia" w:ascii="仿宋" w:hAnsi="仿宋" w:eastAsia="仿宋" w:cs="仿宋"/>
          <w:color w:val="auto"/>
          <w:sz w:val="24"/>
        </w:rPr>
        <w:t>支付合同价款的25%。每季度现场维护日志封面需要计算该季度满意率和扣罚累计金额。</w:t>
      </w:r>
    </w:p>
    <w:p>
      <w:pPr>
        <w:spacing w:line="360" w:lineRule="auto"/>
        <w:ind w:firstLine="486" w:firstLineChars="200"/>
        <w:rPr>
          <w:rFonts w:ascii="仿宋" w:hAnsi="仿宋" w:eastAsia="仿宋" w:cs="仿宋"/>
          <w:sz w:val="24"/>
        </w:rPr>
      </w:pPr>
      <w:r>
        <w:rPr>
          <w:rFonts w:hint="eastAsia" w:ascii="仿宋" w:hAnsi="仿宋" w:eastAsia="仿宋" w:cs="仿宋"/>
          <w:b/>
          <w:bCs/>
          <w:color w:val="auto"/>
          <w:spacing w:val="1"/>
          <w:sz w:val="24"/>
        </w:rPr>
        <w:t>信息设备维修配件和网络布点辅助</w:t>
      </w:r>
      <w:r>
        <w:rPr>
          <w:rFonts w:hint="eastAsia" w:ascii="仿宋" w:hAnsi="仿宋" w:eastAsia="仿宋" w:cs="仿宋"/>
          <w:b/>
          <w:bCs/>
          <w:spacing w:val="1"/>
          <w:sz w:val="24"/>
        </w:rPr>
        <w:t>材料</w:t>
      </w:r>
      <w:r>
        <w:rPr>
          <w:rFonts w:hint="eastAsia" w:ascii="仿宋" w:hAnsi="仿宋" w:eastAsia="仿宋" w:cs="仿宋"/>
          <w:sz w:val="24"/>
        </w:rPr>
        <w:t>以季度为单位按实际发生结算。报销材料应包含使用部门和信息管理部门签字。</w:t>
      </w:r>
      <w:r>
        <w:rPr>
          <w:rFonts w:hint="eastAsia" w:ascii="仿宋" w:hAnsi="仿宋" w:eastAsia="仿宋" w:cs="仿宋"/>
          <w:b/>
          <w:bCs/>
          <w:sz w:val="24"/>
        </w:rPr>
        <w:t>每季度实际结算费用=单价*实际发生数量</w:t>
      </w:r>
      <w:r>
        <w:rPr>
          <w:rFonts w:hint="eastAsia" w:ascii="仿宋" w:hAnsi="仿宋" w:eastAsia="仿宋" w:cs="仿宋"/>
          <w:sz w:val="24"/>
        </w:rPr>
        <w:t>。</w:t>
      </w:r>
    </w:p>
    <w:p>
      <w:pPr>
        <w:pStyle w:val="7"/>
        <w:tabs>
          <w:tab w:val="left" w:pos="600"/>
        </w:tabs>
        <w:spacing w:line="360" w:lineRule="auto"/>
        <w:rPr>
          <w:rFonts w:ascii="仿宋" w:hAnsi="仿宋" w:eastAsia="仿宋" w:cs="仿宋"/>
          <w:sz w:val="24"/>
        </w:rPr>
      </w:pPr>
      <w:r>
        <w:rPr>
          <w:rFonts w:hint="eastAsia" w:ascii="仿宋" w:hAnsi="仿宋" w:eastAsia="仿宋" w:cs="仿宋"/>
          <w:color w:val="000000"/>
          <w:sz w:val="24"/>
          <w:lang w:val="en-US"/>
        </w:rPr>
        <w:t>3.</w:t>
      </w:r>
      <w:r>
        <w:rPr>
          <w:rFonts w:hint="eastAsia" w:ascii="仿宋" w:hAnsi="仿宋" w:eastAsia="仿宋" w:cs="仿宋"/>
          <w:b/>
          <w:bCs/>
          <w:sz w:val="24"/>
        </w:rPr>
        <w:t>服务期限：</w:t>
      </w:r>
      <w:r>
        <w:rPr>
          <w:rFonts w:hint="eastAsia" w:ascii="仿宋" w:hAnsi="仿宋" w:eastAsia="仿宋" w:cs="仿宋"/>
          <w:sz w:val="24"/>
        </w:rPr>
        <w:t>一年。</w:t>
      </w:r>
    </w:p>
    <w:p>
      <w:pPr>
        <w:pStyle w:val="7"/>
        <w:tabs>
          <w:tab w:val="left" w:pos="600"/>
        </w:tabs>
        <w:spacing w:line="360" w:lineRule="auto"/>
        <w:rPr>
          <w:rFonts w:ascii="仿宋" w:hAnsi="仿宋" w:eastAsia="仿宋" w:cs="仿宋"/>
          <w:sz w:val="24"/>
        </w:rPr>
      </w:pPr>
      <w:r>
        <w:rPr>
          <w:rFonts w:hint="eastAsia" w:ascii="仿宋" w:hAnsi="仿宋" w:eastAsia="仿宋" w:cs="仿宋"/>
          <w:color w:val="000000"/>
          <w:sz w:val="24"/>
          <w:lang w:val="en-US"/>
        </w:rPr>
        <w:t>4.</w:t>
      </w:r>
      <w:r>
        <w:rPr>
          <w:rFonts w:hint="eastAsia" w:ascii="仿宋" w:hAnsi="仿宋" w:eastAsia="仿宋" w:cs="仿宋"/>
          <w:b/>
          <w:bCs/>
          <w:sz w:val="24"/>
        </w:rPr>
        <w:t>服务地点：</w:t>
      </w:r>
      <w:r>
        <w:rPr>
          <w:rFonts w:hint="eastAsia" w:ascii="仿宋" w:hAnsi="仿宋" w:eastAsia="仿宋" w:cs="仿宋"/>
          <w:sz w:val="24"/>
        </w:rPr>
        <w:t>采购人指定地点。</w:t>
      </w:r>
    </w:p>
    <w:p>
      <w:pPr>
        <w:pStyle w:val="7"/>
        <w:tabs>
          <w:tab w:val="left" w:pos="600"/>
        </w:tabs>
        <w:spacing w:line="360" w:lineRule="auto"/>
        <w:rPr>
          <w:rFonts w:ascii="仿宋" w:hAnsi="仿宋" w:eastAsia="仿宋" w:cs="仿宋"/>
          <w:b/>
          <w:bCs/>
          <w:sz w:val="24"/>
        </w:rPr>
      </w:pPr>
      <w:r>
        <w:rPr>
          <w:rFonts w:hint="eastAsia" w:ascii="仿宋" w:hAnsi="仿宋" w:eastAsia="仿宋" w:cs="仿宋"/>
          <w:color w:val="000000"/>
          <w:sz w:val="24"/>
          <w:lang w:val="en-US"/>
        </w:rPr>
        <w:t>5.</w:t>
      </w:r>
      <w:r>
        <w:rPr>
          <w:rFonts w:hint="eastAsia" w:ascii="仿宋" w:hAnsi="仿宋" w:eastAsia="仿宋" w:cs="仿宋"/>
          <w:b/>
          <w:bCs/>
          <w:sz w:val="24"/>
        </w:rPr>
        <w:t>其他要求：</w:t>
      </w:r>
    </w:p>
    <w:p>
      <w:pPr>
        <w:spacing w:line="360" w:lineRule="auto"/>
        <w:ind w:firstLine="480" w:firstLineChars="200"/>
        <w:jc w:val="left"/>
        <w:rPr>
          <w:rFonts w:ascii="仿宋" w:hAnsi="仿宋" w:eastAsia="仿宋" w:cs="仿宋"/>
          <w:sz w:val="24"/>
        </w:rPr>
      </w:pPr>
      <w:r>
        <w:rPr>
          <w:rFonts w:hint="eastAsia" w:ascii="仿宋" w:hAnsi="仿宋" w:eastAsia="仿宋" w:cs="仿宋"/>
          <w:bCs/>
          <w:color w:val="000000"/>
          <w:sz w:val="24"/>
        </w:rPr>
        <w:t>（1）</w:t>
      </w:r>
      <w:r>
        <w:rPr>
          <w:rFonts w:hint="eastAsia" w:ascii="仿宋" w:hAnsi="仿宋" w:eastAsia="仿宋" w:cs="仿宋"/>
          <w:sz w:val="24"/>
        </w:rPr>
        <w:t xml:space="preserve"> 工作时间安排专人值守维护热线电话并做好登记台账、派遣维护人员，非工作时间安排电话值班人员并保持通讯畅通、随传随到，凡电话不通，每次在合约中扣罚100元。</w:t>
      </w:r>
    </w:p>
    <w:p>
      <w:pPr>
        <w:spacing w:line="360" w:lineRule="auto"/>
        <w:ind w:firstLine="480" w:firstLineChars="200"/>
        <w:jc w:val="left"/>
        <w:rPr>
          <w:rFonts w:ascii="仿宋" w:hAnsi="仿宋" w:eastAsia="仿宋" w:cs="仿宋"/>
          <w:sz w:val="24"/>
        </w:rPr>
      </w:pPr>
      <w:r>
        <w:rPr>
          <w:rFonts w:hint="eastAsia" w:ascii="仿宋" w:hAnsi="仿宋" w:eastAsia="仿宋" w:cs="仿宋"/>
          <w:bCs/>
          <w:color w:val="000000"/>
          <w:sz w:val="24"/>
        </w:rPr>
        <w:t>（2）</w:t>
      </w:r>
      <w:r>
        <w:rPr>
          <w:rFonts w:hint="eastAsia" w:ascii="仿宋" w:hAnsi="仿宋" w:eastAsia="仿宋" w:cs="仿宋"/>
          <w:sz w:val="24"/>
        </w:rPr>
        <w:t xml:space="preserve"> 工作时间内，以接到报障电话开始计时，按照故障点距离远近分成三类故障点，一类故障点10分钟之内到达现场，二类故障点20分钟内到达现场，三类故障点40分钟到达现场。如未及时到达现场，每次故障在合约中扣罚200元。具体分类如下：</w:t>
      </w:r>
    </w:p>
    <w:p>
      <w:pPr>
        <w:spacing w:line="360" w:lineRule="auto"/>
        <w:ind w:firstLine="480" w:firstLineChars="200"/>
        <w:jc w:val="left"/>
        <w:rPr>
          <w:rFonts w:ascii="仿宋" w:hAnsi="仿宋" w:eastAsia="仿宋" w:cs="仿宋"/>
          <w:sz w:val="24"/>
        </w:rPr>
      </w:pPr>
      <w:r>
        <w:rPr>
          <w:rFonts w:ascii="仿宋" w:hAnsi="仿宋" w:eastAsia="仿宋" w:cs="仿宋"/>
          <w:sz w:val="24"/>
        </w:rPr>
        <w:t>①</w:t>
      </w:r>
      <w:r>
        <w:rPr>
          <w:rFonts w:hint="eastAsia" w:ascii="仿宋" w:hAnsi="仿宋" w:eastAsia="仿宋" w:cs="仿宋"/>
          <w:sz w:val="24"/>
        </w:rPr>
        <w:t xml:space="preserve"> 一类故障点（含各临床科室及网络机房、电井）。</w:t>
      </w:r>
    </w:p>
    <w:p>
      <w:pPr>
        <w:spacing w:line="360" w:lineRule="auto"/>
        <w:ind w:firstLine="480" w:firstLineChars="200"/>
        <w:jc w:val="left"/>
        <w:rPr>
          <w:rFonts w:ascii="仿宋" w:hAnsi="仿宋" w:eastAsia="仿宋" w:cs="仿宋"/>
          <w:sz w:val="24"/>
        </w:rPr>
      </w:pPr>
      <w:r>
        <w:rPr>
          <w:rFonts w:ascii="仿宋" w:hAnsi="仿宋" w:eastAsia="仿宋" w:cs="仿宋"/>
          <w:sz w:val="24"/>
        </w:rPr>
        <w:t>②</w:t>
      </w:r>
      <w:r>
        <w:rPr>
          <w:rFonts w:hint="eastAsia" w:ascii="仿宋" w:hAnsi="仿宋" w:eastAsia="仿宋" w:cs="仿宋"/>
          <w:sz w:val="24"/>
        </w:rPr>
        <w:t xml:space="preserve"> 二类故障点在各行政后勤科室（不含一类故障点）。</w:t>
      </w:r>
    </w:p>
    <w:p>
      <w:pPr>
        <w:spacing w:line="360" w:lineRule="auto"/>
        <w:ind w:firstLine="480" w:firstLineChars="200"/>
        <w:jc w:val="left"/>
        <w:rPr>
          <w:rFonts w:ascii="仿宋" w:hAnsi="仿宋" w:eastAsia="仿宋" w:cs="仿宋"/>
          <w:sz w:val="24"/>
        </w:rPr>
      </w:pPr>
      <w:r>
        <w:rPr>
          <w:rFonts w:ascii="仿宋" w:hAnsi="仿宋" w:eastAsia="仿宋" w:cs="仿宋"/>
          <w:sz w:val="24"/>
        </w:rPr>
        <w:t>③</w:t>
      </w:r>
      <w:r>
        <w:rPr>
          <w:rFonts w:hint="eastAsia" w:ascii="仿宋" w:hAnsi="仿宋" w:eastAsia="仿宋" w:cs="仿宋"/>
          <w:sz w:val="24"/>
        </w:rPr>
        <w:t xml:space="preserve"> 三类故障点在除一类与二类故障点的其他地点。</w:t>
      </w:r>
    </w:p>
    <w:p>
      <w:pPr>
        <w:spacing w:line="360" w:lineRule="auto"/>
        <w:ind w:firstLine="480" w:firstLineChars="200"/>
        <w:jc w:val="left"/>
        <w:rPr>
          <w:rFonts w:ascii="仿宋" w:hAnsi="仿宋" w:eastAsia="仿宋" w:cs="仿宋"/>
          <w:sz w:val="24"/>
        </w:rPr>
      </w:pPr>
      <w:r>
        <w:rPr>
          <w:rFonts w:hint="eastAsia" w:ascii="仿宋" w:hAnsi="仿宋" w:eastAsia="仿宋" w:cs="仿宋"/>
          <w:bCs/>
          <w:color w:val="000000"/>
          <w:sz w:val="24"/>
        </w:rPr>
        <w:t>（3）</w:t>
      </w:r>
      <w:r>
        <w:rPr>
          <w:rFonts w:hint="eastAsia" w:ascii="仿宋" w:hAnsi="仿宋" w:eastAsia="仿宋" w:cs="仿宋"/>
          <w:sz w:val="24"/>
        </w:rPr>
        <w:t xml:space="preserve"> 每次故障因处理不能影响正常办公，每超过24小时，在合约中扣罚200元，以此类推。</w:t>
      </w:r>
    </w:p>
    <w:p>
      <w:pPr>
        <w:spacing w:line="360" w:lineRule="auto"/>
        <w:ind w:firstLine="480" w:firstLineChars="200"/>
        <w:jc w:val="left"/>
        <w:rPr>
          <w:rFonts w:ascii="仿宋" w:hAnsi="仿宋" w:eastAsia="仿宋" w:cs="仿宋"/>
          <w:sz w:val="24"/>
        </w:rPr>
      </w:pPr>
      <w:r>
        <w:rPr>
          <w:rFonts w:hint="eastAsia" w:ascii="仿宋" w:hAnsi="仿宋" w:eastAsia="仿宋" w:cs="仿宋"/>
          <w:bCs/>
          <w:color w:val="000000"/>
          <w:sz w:val="24"/>
        </w:rPr>
        <w:t>（4）</w:t>
      </w:r>
      <w:r>
        <w:rPr>
          <w:rFonts w:hint="eastAsia" w:ascii="仿宋" w:hAnsi="仿宋" w:eastAsia="仿宋" w:cs="仿宋"/>
          <w:sz w:val="24"/>
        </w:rPr>
        <w:t xml:space="preserve"> 每次维护做好现场维护日志，并由报障部门签署服务意见,服务意见分为“满</w:t>
      </w:r>
      <w:r>
        <w:rPr>
          <w:rFonts w:hint="eastAsia" w:ascii="仿宋" w:hAnsi="仿宋" w:eastAsia="仿宋" w:cs="仿宋"/>
          <w:color w:val="auto"/>
          <w:sz w:val="24"/>
        </w:rPr>
        <w:t>意”、“基本满意”、“不满意”三档，每</w:t>
      </w:r>
      <w:r>
        <w:rPr>
          <w:rFonts w:hint="eastAsia" w:ascii="仿宋" w:hAnsi="仿宋" w:eastAsia="仿宋" w:cs="仿宋"/>
          <w:color w:val="auto"/>
          <w:sz w:val="24"/>
          <w:lang w:val="en-US" w:eastAsia="zh-CN"/>
        </w:rPr>
        <w:t>季度</w:t>
      </w:r>
      <w:r>
        <w:rPr>
          <w:rFonts w:hint="eastAsia" w:ascii="仿宋" w:hAnsi="仿宋" w:eastAsia="仿宋" w:cs="仿宋"/>
          <w:color w:val="auto"/>
          <w:sz w:val="24"/>
        </w:rPr>
        <w:t>由信息管理岗全体在岗员工整理签字</w:t>
      </w: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每</w:t>
      </w:r>
      <w:r>
        <w:rPr>
          <w:rFonts w:hint="eastAsia" w:ascii="仿宋" w:hAnsi="仿宋" w:eastAsia="仿宋" w:cs="仿宋"/>
          <w:color w:val="auto"/>
          <w:sz w:val="24"/>
        </w:rPr>
        <w:t>次不满意维护记录在合约中扣罚100元，</w:t>
      </w:r>
      <w:r>
        <w:rPr>
          <w:rFonts w:hint="eastAsia" w:ascii="仿宋" w:hAnsi="仿宋" w:eastAsia="仿宋" w:cs="仿宋"/>
          <w:color w:val="auto"/>
          <w:sz w:val="24"/>
          <w:lang w:val="en-US" w:eastAsia="zh-CN"/>
        </w:rPr>
        <w:t>若该季度</w:t>
      </w:r>
      <w:r>
        <w:rPr>
          <w:rFonts w:hint="eastAsia" w:ascii="仿宋" w:hAnsi="仿宋" w:eastAsia="仿宋" w:cs="仿宋"/>
          <w:color w:val="auto"/>
          <w:sz w:val="24"/>
        </w:rPr>
        <w:t>不满意率在5%以上，</w:t>
      </w:r>
      <w:r>
        <w:rPr>
          <w:rFonts w:hint="eastAsia" w:ascii="仿宋" w:hAnsi="仿宋" w:eastAsia="仿宋" w:cs="仿宋"/>
          <w:color w:val="auto"/>
          <w:sz w:val="24"/>
          <w:lang w:val="en-US" w:eastAsia="zh-CN"/>
        </w:rPr>
        <w:t>除每次扣罚100元外</w:t>
      </w:r>
      <w:r>
        <w:rPr>
          <w:rFonts w:hint="eastAsia" w:ascii="仿宋" w:hAnsi="仿宋" w:eastAsia="仿宋" w:cs="仿宋"/>
          <w:color w:val="auto"/>
          <w:sz w:val="24"/>
        </w:rPr>
        <w:t>，</w:t>
      </w:r>
      <w:r>
        <w:rPr>
          <w:rFonts w:hint="eastAsia" w:ascii="仿宋" w:hAnsi="仿宋" w:eastAsia="仿宋" w:cs="仿宋"/>
          <w:color w:val="auto"/>
          <w:sz w:val="24"/>
          <w:lang w:val="en-US" w:eastAsia="zh-CN"/>
        </w:rPr>
        <w:t>另</w:t>
      </w:r>
      <w:r>
        <w:rPr>
          <w:rFonts w:hint="eastAsia" w:ascii="仿宋" w:hAnsi="仿宋" w:eastAsia="仿宋" w:cs="仿宋"/>
          <w:color w:val="auto"/>
          <w:sz w:val="24"/>
        </w:rPr>
        <w:t>追加扣罚2000元</w:t>
      </w:r>
      <w:r>
        <w:rPr>
          <w:rFonts w:hint="eastAsia" w:ascii="仿宋" w:hAnsi="仿宋" w:eastAsia="仿宋" w:cs="仿宋"/>
          <w:color w:val="auto"/>
          <w:sz w:val="24"/>
          <w:lang w:eastAsia="zh-CN"/>
        </w:rPr>
        <w:t>；</w:t>
      </w:r>
      <w:r>
        <w:rPr>
          <w:rFonts w:hint="eastAsia" w:ascii="仿宋" w:hAnsi="仿宋" w:eastAsia="仿宋" w:cs="仿宋"/>
          <w:color w:val="auto"/>
          <w:sz w:val="24"/>
        </w:rPr>
        <w:t>累计</w:t>
      </w:r>
      <w:r>
        <w:rPr>
          <w:rFonts w:hint="eastAsia" w:ascii="仿宋" w:hAnsi="仿宋" w:eastAsia="仿宋" w:cs="仿宋"/>
          <w:color w:val="auto"/>
          <w:sz w:val="24"/>
          <w:lang w:val="en-US" w:eastAsia="zh-CN"/>
        </w:rPr>
        <w:t>两季度</w:t>
      </w:r>
      <w:r>
        <w:rPr>
          <w:rFonts w:hint="eastAsia" w:ascii="仿宋" w:hAnsi="仿宋" w:eastAsia="仿宋" w:cs="仿宋"/>
          <w:color w:val="auto"/>
          <w:sz w:val="24"/>
        </w:rPr>
        <w:t>不满意率在5%以上，采购人可提前终止合约。如采购人决定终止合约，现场服务费用以书面通知上注明的时间为截止日期计算服务天数，按服务天数占全年的比例乘以现场服务合同价作为结算金额。</w:t>
      </w:r>
    </w:p>
    <w:p>
      <w:pPr>
        <w:spacing w:line="360" w:lineRule="auto"/>
        <w:ind w:firstLine="480" w:firstLineChars="200"/>
        <w:jc w:val="left"/>
        <w:rPr>
          <w:rFonts w:ascii="仿宋" w:hAnsi="仿宋" w:eastAsia="仿宋" w:cs="仿宋"/>
          <w:sz w:val="24"/>
        </w:rPr>
      </w:pPr>
      <w:r>
        <w:rPr>
          <w:rFonts w:hint="eastAsia" w:ascii="仿宋" w:hAnsi="仿宋" w:eastAsia="仿宋" w:cs="仿宋"/>
          <w:bCs/>
          <w:color w:val="000000"/>
          <w:sz w:val="24"/>
        </w:rPr>
        <w:t>（5）</w:t>
      </w:r>
      <w:r>
        <w:rPr>
          <w:rFonts w:hint="eastAsia" w:ascii="仿宋" w:hAnsi="仿宋" w:eastAsia="仿宋" w:cs="仿宋"/>
          <w:sz w:val="24"/>
        </w:rPr>
        <w:t xml:space="preserve"> 遇重大突发事件时，如自然灾害、计算机病毒入侵、公卫疫情等，要求服从医院工作时间及工作安排，因工作产生的加班费、差旅费等由投标人支付。</w:t>
      </w:r>
    </w:p>
    <w:p>
      <w:pPr>
        <w:spacing w:line="360" w:lineRule="auto"/>
        <w:ind w:firstLine="480" w:firstLineChars="200"/>
        <w:jc w:val="left"/>
        <w:rPr>
          <w:rFonts w:ascii="仿宋" w:hAnsi="仿宋" w:eastAsia="仿宋" w:cs="仿宋"/>
          <w:sz w:val="24"/>
          <w:highlight w:val="yellow"/>
        </w:rPr>
      </w:pPr>
      <w:r>
        <w:rPr>
          <w:rFonts w:hint="eastAsia" w:ascii="仿宋" w:hAnsi="仿宋" w:eastAsia="仿宋" w:cs="仿宋"/>
          <w:bCs/>
          <w:color w:val="000000"/>
          <w:sz w:val="24"/>
        </w:rPr>
        <w:t>（6）</w:t>
      </w:r>
      <w:r>
        <w:rPr>
          <w:rFonts w:hint="eastAsia" w:ascii="仿宋" w:hAnsi="仿宋" w:eastAsia="仿宋" w:cs="仿宋"/>
          <w:sz w:val="24"/>
        </w:rPr>
        <w:t xml:space="preserve"> 设备的维修：所有项目范围内的设备出现故障，能现场处理无需更换配件则直接维修；如确认硬件损坏的，配件或送出维修成本在200元以内的医院不再支付任何费用。成本超出200元的维修项目凭发票和相关报障部门签字按季度结算。硬件质保期内，送回原厂维修的不收取费用。</w:t>
      </w:r>
    </w:p>
    <w:p>
      <w:pPr>
        <w:pStyle w:val="7"/>
        <w:tabs>
          <w:tab w:val="left" w:pos="600"/>
        </w:tabs>
        <w:spacing w:line="360" w:lineRule="auto"/>
        <w:ind w:left="0" w:leftChars="0" w:firstLine="480" w:firstLineChars="200"/>
        <w:rPr>
          <w:rFonts w:ascii="仿宋" w:hAnsi="仿宋" w:eastAsia="仿宋" w:cs="仿宋"/>
          <w:sz w:val="24"/>
        </w:rPr>
      </w:pPr>
      <w:r>
        <w:rPr>
          <w:rFonts w:hint="eastAsia" w:ascii="仿宋" w:hAnsi="仿宋" w:eastAsia="仿宋" w:cs="仿宋"/>
          <w:bCs/>
          <w:color w:val="000000"/>
          <w:sz w:val="24"/>
          <w:lang w:val="en-US"/>
        </w:rPr>
        <w:t>（7）</w:t>
      </w:r>
      <w:r>
        <w:rPr>
          <w:rFonts w:hint="eastAsia" w:ascii="仿宋" w:hAnsi="仿宋" w:eastAsia="仿宋" w:cs="仿宋"/>
          <w:sz w:val="24"/>
        </w:rPr>
        <w:t xml:space="preserve"> 合同期内</w:t>
      </w:r>
      <w:r>
        <w:rPr>
          <w:rFonts w:hint="eastAsia" w:ascii="仿宋" w:hAnsi="仿宋" w:eastAsia="仿宋" w:cs="仿宋"/>
          <w:sz w:val="24"/>
          <w:szCs w:val="22"/>
        </w:rPr>
        <w:t>投标人</w:t>
      </w:r>
      <w:r>
        <w:rPr>
          <w:rFonts w:hint="eastAsia" w:ascii="仿宋" w:hAnsi="仿宋" w:eastAsia="仿宋" w:cs="仿宋"/>
          <w:sz w:val="24"/>
        </w:rPr>
        <w:t>未取得加盖有四川省精神医学中心公章的同意书，不得更换现场维护技术人员或撤离现场维护技术人员。否则四川省精神医学中心权终止合同，同时投标人需支付违约金人民币5万元。</w:t>
      </w:r>
    </w:p>
    <w:p>
      <w:pPr>
        <w:spacing w:line="360" w:lineRule="auto"/>
        <w:ind w:firstLine="480" w:firstLineChars="200"/>
        <w:jc w:val="left"/>
        <w:rPr>
          <w:rFonts w:ascii="仿宋" w:hAnsi="仿宋" w:eastAsia="仿宋" w:cs="仿宋"/>
          <w:sz w:val="24"/>
        </w:rPr>
      </w:pPr>
      <w:r>
        <w:rPr>
          <w:rFonts w:hint="eastAsia" w:ascii="仿宋" w:hAnsi="仿宋" w:eastAsia="仿宋" w:cs="仿宋"/>
          <w:bCs/>
          <w:color w:val="000000"/>
          <w:sz w:val="24"/>
        </w:rPr>
        <w:t>（8）</w:t>
      </w:r>
      <w:r>
        <w:rPr>
          <w:rFonts w:hint="eastAsia" w:ascii="仿宋" w:hAnsi="仿宋" w:eastAsia="仿宋" w:cs="仿宋"/>
          <w:sz w:val="24"/>
        </w:rPr>
        <w:t xml:space="preserve"> 每季度开展一次全院各科室的设备维护巡检，记录巡检情况，并由各科室签字确认，每缺少一个科室巡查情况，在合约中扣罚100元。</w:t>
      </w:r>
    </w:p>
    <w:p>
      <w:pPr>
        <w:spacing w:line="360" w:lineRule="auto"/>
        <w:ind w:firstLine="480" w:firstLineChars="200"/>
        <w:jc w:val="left"/>
        <w:rPr>
          <w:rFonts w:ascii="仿宋" w:hAnsi="仿宋" w:eastAsia="仿宋" w:cs="仿宋"/>
          <w:b/>
          <w:bCs/>
          <w:sz w:val="24"/>
        </w:rPr>
      </w:pPr>
      <w:r>
        <w:rPr>
          <w:rFonts w:hint="eastAsia" w:ascii="仿宋" w:hAnsi="仿宋" w:eastAsia="仿宋" w:cs="仿宋"/>
          <w:bCs/>
          <w:color w:val="000000"/>
          <w:sz w:val="24"/>
        </w:rPr>
        <w:t>（9）</w:t>
      </w:r>
      <w:r>
        <w:rPr>
          <w:rFonts w:hint="eastAsia" w:ascii="仿宋" w:hAnsi="仿宋" w:eastAsia="仿宋" w:cs="仿宋"/>
          <w:sz w:val="24"/>
        </w:rPr>
        <w:t xml:space="preserve"> 对各类设备进行维修时，严格按照安全保密规定进行操作，因措施不当造成事故（如被上级部门通报批评等情况），每次在合约中扣罚1000元，并依法追究相关责任人员的法律责任。</w:t>
      </w:r>
    </w:p>
    <w:p>
      <w:pPr>
        <w:spacing w:line="360" w:lineRule="auto"/>
        <w:ind w:firstLine="480" w:firstLineChars="200"/>
        <w:rPr>
          <w:rFonts w:ascii="仿宋" w:hAnsi="仿宋" w:eastAsia="仿宋" w:cs="仿宋"/>
          <w:b/>
          <w:bCs/>
          <w:sz w:val="24"/>
        </w:rPr>
      </w:pPr>
      <w:r>
        <w:rPr>
          <w:rFonts w:hint="eastAsia" w:ascii="仿宋" w:hAnsi="仿宋" w:eastAsia="仿宋" w:cs="仿宋"/>
          <w:color w:val="000000"/>
          <w:sz w:val="24"/>
        </w:rPr>
        <w:t>6.</w:t>
      </w:r>
      <w:r>
        <w:rPr>
          <w:rFonts w:hint="eastAsia" w:ascii="仿宋" w:hAnsi="仿宋" w:eastAsia="仿宋" w:cs="仿宋"/>
          <w:b/>
          <w:bCs/>
          <w:sz w:val="24"/>
        </w:rPr>
        <w:t>售后服务：</w:t>
      </w:r>
    </w:p>
    <w:p>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（1） 供应商需按招标文件和投标文件制作提供现场服务方案，并按照方案执行维护维修工作。</w:t>
      </w:r>
    </w:p>
    <w:p>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（2）培训要求：</w:t>
      </w:r>
      <w:r>
        <w:rPr>
          <w:rFonts w:hint="eastAsia" w:ascii="仿宋" w:hAnsi="仿宋" w:eastAsia="仿宋" w:cs="仿宋"/>
          <w:sz w:val="24"/>
          <w:lang w:val="zh-CN"/>
        </w:rPr>
        <w:t>投标人结合本项目及招标人实际需要，提供技术培训方案。</w:t>
      </w:r>
    </w:p>
    <w:p>
      <w:pPr>
        <w:pStyle w:val="7"/>
        <w:tabs>
          <w:tab w:val="left" w:pos="600"/>
        </w:tabs>
        <w:spacing w:line="360" w:lineRule="auto"/>
        <w:ind w:left="0" w:leftChars="0" w:firstLine="480" w:firstLineChars="200"/>
        <w:rPr>
          <w:rFonts w:hint="eastAsia" w:ascii="仿宋" w:hAnsi="仿宋" w:eastAsia="仿宋"/>
          <w:bCs/>
          <w:color w:val="auto"/>
          <w:sz w:val="24"/>
        </w:rPr>
      </w:pPr>
      <w:r>
        <w:rPr>
          <w:rFonts w:hint="eastAsia" w:ascii="仿宋" w:hAnsi="仿宋" w:eastAsia="仿宋" w:cs="仿宋"/>
          <w:color w:val="000000"/>
          <w:sz w:val="24"/>
          <w:lang w:val="en-US"/>
        </w:rPr>
        <w:t>7.</w:t>
      </w:r>
      <w:r>
        <w:rPr>
          <w:rFonts w:hint="eastAsia" w:ascii="仿宋" w:hAnsi="仿宋" w:eastAsia="仿宋" w:cs="仿宋"/>
          <w:b/>
          <w:bCs/>
          <w:color w:val="auto"/>
          <w:sz w:val="24"/>
        </w:rPr>
        <w:t>履约验收：</w:t>
      </w:r>
      <w:r>
        <w:rPr>
          <w:rFonts w:hint="eastAsia" w:ascii="仿宋" w:hAnsi="仿宋" w:eastAsia="仿宋"/>
          <w:bCs/>
          <w:color w:val="auto"/>
          <w:sz w:val="24"/>
        </w:rPr>
        <w:t>按国家有关规定、招标文件要求、投标人的投标文件及有关承诺以及合同约定标准及川财采〔2015〕32号文件规定进行验收。</w:t>
      </w:r>
    </w:p>
    <w:p>
      <w:pPr>
        <w:pStyle w:val="7"/>
        <w:tabs>
          <w:tab w:val="left" w:pos="600"/>
        </w:tabs>
        <w:spacing w:line="360" w:lineRule="auto"/>
        <w:ind w:left="0" w:leftChars="0" w:firstLine="480" w:firstLineChars="200"/>
        <w:rPr>
          <w:rFonts w:ascii="仿宋" w:hAnsi="仿宋" w:eastAsia="仿宋" w:cs="仿宋"/>
          <w:color w:val="auto"/>
          <w:sz w:val="24"/>
        </w:rPr>
      </w:pPr>
      <w:r>
        <w:rPr>
          <w:rFonts w:hint="eastAsia" w:ascii="仿宋" w:hAnsi="仿宋" w:eastAsia="仿宋"/>
          <w:bCs/>
          <w:color w:val="auto"/>
          <w:sz w:val="24"/>
        </w:rPr>
        <w:t>8.</w:t>
      </w:r>
      <w:r>
        <w:rPr>
          <w:rFonts w:hint="eastAsia" w:ascii="仿宋" w:hAnsi="仿宋" w:eastAsia="仿宋" w:cs="仿宋"/>
          <w:b/>
          <w:bCs/>
          <w:color w:val="auto"/>
          <w:sz w:val="24"/>
        </w:rPr>
        <w:t>履约保证金退还:</w:t>
      </w:r>
      <w:r>
        <w:rPr>
          <w:rFonts w:hint="eastAsia"/>
          <w:color w:val="auto"/>
        </w:rPr>
        <w:t xml:space="preserve"> </w:t>
      </w:r>
      <w:r>
        <w:rPr>
          <w:rFonts w:hint="eastAsia" w:ascii="仿宋" w:hAnsi="仿宋" w:eastAsia="仿宋" w:cs="仿宋"/>
          <w:color w:val="auto"/>
          <w:sz w:val="24"/>
        </w:rPr>
        <w:t>乙方在合同签订前向甲方支付现场服务合同金额百分之十的款项作为履约保证金。服务期满并验收合格后，扣除累计的服务扣罚金额，接到乙方请款报告后15个工作日内</w:t>
      </w:r>
      <w:r>
        <w:rPr>
          <w:rFonts w:hint="eastAsia" w:ascii="仿宋" w:hAnsi="仿宋" w:eastAsia="仿宋" w:cs="仿宋"/>
          <w:color w:val="auto"/>
          <w:sz w:val="24"/>
          <w:lang w:val="en-US" w:eastAsia="zh-CN"/>
        </w:rPr>
        <w:t>无息</w:t>
      </w:r>
      <w:r>
        <w:rPr>
          <w:rFonts w:hint="eastAsia" w:ascii="仿宋" w:hAnsi="仿宋" w:eastAsia="仿宋" w:cs="仿宋"/>
          <w:color w:val="auto"/>
          <w:sz w:val="24"/>
        </w:rPr>
        <w:t>退还剩余的履约保证金。</w:t>
      </w:r>
    </w:p>
    <w:p>
      <w:pPr>
        <w:rPr>
          <w:rFonts w:ascii="仿宋" w:hAnsi="仿宋" w:eastAsia="仿宋" w:cs="仿宋"/>
          <w:color w:val="000000" w:themeColor="text1"/>
          <w:spacing w:val="1"/>
          <w:sz w:val="24"/>
          <w14:textFill>
            <w14:solidFill>
              <w14:schemeClr w14:val="tx1"/>
            </w14:solidFill>
          </w14:textFill>
        </w:rPr>
      </w:pPr>
      <w:r>
        <w:rPr>
          <w:rFonts w:hint="eastAsia" w:ascii="仿宋" w:hAnsi="仿宋" w:eastAsia="仿宋" w:cs="仿宋"/>
          <w:color w:val="000000"/>
          <w:sz w:val="24"/>
        </w:rPr>
        <w:br w:type="page"/>
      </w:r>
    </w:p>
    <w:p>
      <w:pPr>
        <w:numPr>
          <w:ilvl w:val="0"/>
          <w:numId w:val="1"/>
        </w:numPr>
        <w:jc w:val="lef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评分标准表</w:t>
      </w:r>
    </w:p>
    <w:tbl>
      <w:tblPr>
        <w:tblStyle w:val="11"/>
        <w:tblpPr w:leftFromText="180" w:rightFromText="180" w:vertAnchor="text" w:horzAnchor="page" w:tblpX="1540" w:tblpY="56"/>
        <w:tblOverlap w:val="never"/>
        <w:tblW w:w="89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2212"/>
        <w:gridCol w:w="841"/>
        <w:gridCol w:w="3315"/>
        <w:gridCol w:w="1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vAlign w:val="center"/>
          </w:tcPr>
          <w:p>
            <w:pPr>
              <w:spacing w:line="360" w:lineRule="auto"/>
              <w:ind w:firstLine="28"/>
              <w:jc w:val="center"/>
              <w:rPr>
                <w:rFonts w:ascii="仿宋" w:hAnsi="仿宋" w:eastAsia="仿宋" w:cs="仿宋"/>
                <w:b/>
                <w:bCs/>
                <w:sz w:val="24"/>
              </w:rPr>
            </w:pPr>
            <w:bookmarkStart w:id="0" w:name="_Toc217446059"/>
            <w:r>
              <w:rPr>
                <w:rFonts w:hint="eastAsia" w:ascii="仿宋" w:hAnsi="仿宋" w:eastAsia="仿宋" w:cs="仿宋"/>
                <w:b/>
                <w:bCs/>
                <w:sz w:val="24"/>
              </w:rPr>
              <w:t>序号</w:t>
            </w:r>
          </w:p>
        </w:tc>
        <w:tc>
          <w:tcPr>
            <w:tcW w:w="2212" w:type="dxa"/>
            <w:vAlign w:val="center"/>
          </w:tcPr>
          <w:p>
            <w:pPr>
              <w:spacing w:line="360" w:lineRule="auto"/>
              <w:ind w:firstLine="28"/>
              <w:jc w:val="center"/>
              <w:rPr>
                <w:rFonts w:ascii="仿宋" w:hAnsi="仿宋" w:eastAsia="仿宋" w:cs="仿宋"/>
                <w:b/>
                <w:bCs/>
                <w:sz w:val="24"/>
              </w:rPr>
            </w:pPr>
            <w:r>
              <w:rPr>
                <w:rFonts w:hint="eastAsia" w:ascii="仿宋" w:hAnsi="仿宋" w:eastAsia="仿宋" w:cs="仿宋"/>
                <w:b/>
                <w:bCs/>
                <w:sz w:val="24"/>
              </w:rPr>
              <w:t>评分因素</w:t>
            </w:r>
          </w:p>
        </w:tc>
        <w:tc>
          <w:tcPr>
            <w:tcW w:w="841" w:type="dxa"/>
            <w:vAlign w:val="center"/>
          </w:tcPr>
          <w:p>
            <w:pPr>
              <w:spacing w:line="360" w:lineRule="auto"/>
              <w:ind w:firstLine="28"/>
              <w:jc w:val="center"/>
              <w:rPr>
                <w:rFonts w:ascii="仿宋" w:hAnsi="仿宋" w:eastAsia="仿宋" w:cs="仿宋"/>
                <w:b/>
                <w:bCs/>
                <w:sz w:val="24"/>
              </w:rPr>
            </w:pPr>
            <w:r>
              <w:rPr>
                <w:rFonts w:hint="eastAsia" w:ascii="仿宋" w:hAnsi="仿宋" w:eastAsia="仿宋" w:cs="仿宋"/>
                <w:b/>
                <w:bCs/>
                <w:sz w:val="24"/>
              </w:rPr>
              <w:t>权重</w:t>
            </w:r>
          </w:p>
        </w:tc>
        <w:tc>
          <w:tcPr>
            <w:tcW w:w="3315" w:type="dxa"/>
            <w:vAlign w:val="center"/>
          </w:tcPr>
          <w:p>
            <w:pPr>
              <w:spacing w:line="360" w:lineRule="auto"/>
              <w:ind w:firstLine="28"/>
              <w:jc w:val="center"/>
              <w:rPr>
                <w:rFonts w:ascii="仿宋" w:hAnsi="仿宋" w:eastAsia="仿宋" w:cs="仿宋"/>
                <w:b/>
                <w:bCs/>
                <w:sz w:val="24"/>
              </w:rPr>
            </w:pPr>
            <w:r>
              <w:rPr>
                <w:rFonts w:hint="eastAsia" w:ascii="仿宋" w:hAnsi="仿宋" w:eastAsia="仿宋" w:cs="仿宋"/>
                <w:b/>
                <w:bCs/>
                <w:sz w:val="24"/>
              </w:rPr>
              <w:t>评分标准</w:t>
            </w:r>
          </w:p>
        </w:tc>
        <w:tc>
          <w:tcPr>
            <w:tcW w:w="1761" w:type="dxa"/>
            <w:vAlign w:val="center"/>
          </w:tcPr>
          <w:p>
            <w:pPr>
              <w:spacing w:line="360" w:lineRule="auto"/>
              <w:jc w:val="center"/>
              <w:rPr>
                <w:rFonts w:ascii="仿宋" w:hAnsi="仿宋" w:eastAsia="仿宋" w:cs="仿宋"/>
                <w:b/>
                <w:bCs/>
                <w:sz w:val="24"/>
              </w:rPr>
            </w:pPr>
            <w:r>
              <w:rPr>
                <w:rFonts w:hint="eastAsia" w:ascii="仿宋" w:hAnsi="仿宋" w:eastAsia="仿宋" w:cs="仿宋"/>
                <w:b/>
                <w:bCs/>
                <w:sz w:val="24"/>
              </w:rPr>
              <w:t>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vAlign w:val="center"/>
          </w:tcPr>
          <w:p>
            <w:pPr>
              <w:spacing w:line="360" w:lineRule="auto"/>
              <w:ind w:firstLine="28"/>
              <w:jc w:val="center"/>
              <w:rPr>
                <w:rFonts w:ascii="仿宋" w:hAnsi="仿宋" w:eastAsia="仿宋" w:cs="仿宋"/>
                <w:sz w:val="24"/>
              </w:rPr>
            </w:pPr>
            <w:r>
              <w:rPr>
                <w:rFonts w:hint="eastAsia" w:ascii="仿宋" w:hAnsi="仿宋" w:eastAsia="仿宋" w:cs="仿宋"/>
                <w:sz w:val="24"/>
              </w:rPr>
              <w:t>1</w:t>
            </w:r>
          </w:p>
        </w:tc>
        <w:tc>
          <w:tcPr>
            <w:tcW w:w="2212" w:type="dxa"/>
            <w:vAlign w:val="center"/>
          </w:tcPr>
          <w:p>
            <w:pPr>
              <w:spacing w:line="360" w:lineRule="auto"/>
              <w:ind w:firstLine="28"/>
              <w:jc w:val="center"/>
              <w:rPr>
                <w:rFonts w:ascii="仿宋" w:hAnsi="仿宋" w:eastAsia="仿宋" w:cs="仿宋"/>
                <w:sz w:val="24"/>
              </w:rPr>
            </w:pPr>
            <w:r>
              <w:rPr>
                <w:rFonts w:hint="eastAsia" w:ascii="仿宋" w:hAnsi="仿宋" w:eastAsia="仿宋" w:cs="仿宋"/>
                <w:color w:val="000000"/>
                <w:sz w:val="24"/>
              </w:rPr>
              <w:t>信息设备现场维护维修服务</w:t>
            </w:r>
            <w:r>
              <w:rPr>
                <w:rFonts w:hint="eastAsia" w:ascii="仿宋" w:hAnsi="仿宋" w:eastAsia="仿宋" w:cs="仿宋"/>
                <w:sz w:val="24"/>
              </w:rPr>
              <w:t>（共同评分因素）</w:t>
            </w:r>
          </w:p>
        </w:tc>
        <w:tc>
          <w:tcPr>
            <w:tcW w:w="841" w:type="dxa"/>
            <w:vAlign w:val="center"/>
          </w:tcPr>
          <w:p>
            <w:pPr>
              <w:spacing w:line="360" w:lineRule="auto"/>
              <w:ind w:firstLine="28"/>
              <w:jc w:val="center"/>
              <w:rPr>
                <w:rFonts w:ascii="仿宋" w:hAnsi="仿宋" w:eastAsia="仿宋" w:cs="仿宋"/>
                <w:sz w:val="24"/>
              </w:rPr>
            </w:pPr>
            <w:r>
              <w:rPr>
                <w:rFonts w:hint="eastAsia" w:ascii="仿宋" w:hAnsi="仿宋" w:eastAsia="仿宋" w:cs="仿宋"/>
                <w:sz w:val="24"/>
              </w:rPr>
              <w:t>25%</w:t>
            </w:r>
          </w:p>
        </w:tc>
        <w:tc>
          <w:tcPr>
            <w:tcW w:w="3315" w:type="dxa"/>
            <w:vAlign w:val="center"/>
          </w:tcPr>
          <w:p>
            <w:pPr>
              <w:spacing w:line="360" w:lineRule="auto"/>
              <w:rPr>
                <w:rFonts w:ascii="仿宋" w:hAnsi="仿宋" w:eastAsia="仿宋" w:cs="仿宋"/>
                <w:sz w:val="24"/>
              </w:rPr>
            </w:pPr>
            <w:r>
              <w:rPr>
                <w:rFonts w:hint="eastAsia" w:ascii="仿宋" w:hAnsi="仿宋" w:eastAsia="仿宋" w:cs="仿宋"/>
                <w:sz w:val="24"/>
              </w:rPr>
              <w:t>满足招标文件要求且投标价格最低的投标报价作为基准价，其价格分为满分，投标报价得分＝（基准价/投标报价）×100</w:t>
            </w:r>
            <w:r>
              <w:rPr>
                <w:rFonts w:hint="eastAsia" w:ascii="仿宋" w:hAnsi="仿宋" w:eastAsia="仿宋" w:cs="仿宋"/>
                <w:sz w:val="24"/>
                <w:lang w:val="en-US" w:eastAsia="zh-CN"/>
              </w:rPr>
              <w:t>%×</w:t>
            </w:r>
            <w:r>
              <w:rPr>
                <w:rFonts w:hint="eastAsia" w:ascii="仿宋" w:hAnsi="仿宋" w:eastAsia="仿宋" w:cs="仿宋"/>
                <w:sz w:val="24"/>
              </w:rPr>
              <w:t>2</w:t>
            </w:r>
            <w:r>
              <w:rPr>
                <w:rFonts w:hint="eastAsia" w:ascii="仿宋" w:hAnsi="仿宋" w:eastAsia="仿宋" w:cs="仿宋"/>
                <w:sz w:val="24"/>
                <w:lang w:val="en-US" w:eastAsia="zh-CN"/>
              </w:rPr>
              <w:t>5</w:t>
            </w:r>
            <w:r>
              <w:rPr>
                <w:rFonts w:hint="eastAsia" w:ascii="仿宋" w:hAnsi="仿宋" w:eastAsia="仿宋" w:cs="仿宋"/>
                <w:sz w:val="24"/>
              </w:rPr>
              <w:t>。</w:t>
            </w:r>
          </w:p>
        </w:tc>
        <w:tc>
          <w:tcPr>
            <w:tcW w:w="1761" w:type="dxa"/>
            <w:vAlign w:val="center"/>
          </w:tcPr>
          <w:p>
            <w:pPr>
              <w:spacing w:line="360" w:lineRule="auto"/>
              <w:ind w:left="-38"/>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7" w:hRule="atLeast"/>
        </w:trPr>
        <w:tc>
          <w:tcPr>
            <w:tcW w:w="826" w:type="dxa"/>
            <w:vAlign w:val="center"/>
          </w:tcPr>
          <w:p>
            <w:pPr>
              <w:spacing w:line="360" w:lineRule="auto"/>
              <w:ind w:firstLine="28"/>
              <w:jc w:val="center"/>
              <w:rPr>
                <w:rFonts w:ascii="仿宋" w:hAnsi="仿宋" w:eastAsia="仿宋" w:cs="仿宋"/>
                <w:sz w:val="24"/>
              </w:rPr>
            </w:pPr>
            <w:r>
              <w:rPr>
                <w:rFonts w:hint="eastAsia" w:ascii="仿宋" w:hAnsi="仿宋" w:eastAsia="仿宋" w:cs="仿宋"/>
                <w:sz w:val="24"/>
              </w:rPr>
              <w:t>2</w:t>
            </w:r>
          </w:p>
        </w:tc>
        <w:tc>
          <w:tcPr>
            <w:tcW w:w="2212" w:type="dxa"/>
            <w:vAlign w:val="center"/>
          </w:tcPr>
          <w:p>
            <w:pPr>
              <w:spacing w:line="360" w:lineRule="auto"/>
              <w:jc w:val="center"/>
              <w:rPr>
                <w:rFonts w:ascii="仿宋" w:hAnsi="仿宋" w:eastAsia="仿宋" w:cs="仿宋"/>
                <w:sz w:val="24"/>
              </w:rPr>
            </w:pPr>
            <w:r>
              <w:rPr>
                <w:rFonts w:hint="eastAsia" w:ascii="仿宋" w:hAnsi="仿宋" w:eastAsia="仿宋" w:cs="仿宋"/>
                <w:color w:val="000000"/>
                <w:sz w:val="24"/>
              </w:rPr>
              <w:t>信息设备维修配件和网络布点辅助材料</w:t>
            </w:r>
            <w:r>
              <w:rPr>
                <w:rFonts w:hint="eastAsia" w:ascii="仿宋" w:hAnsi="仿宋" w:eastAsia="仿宋" w:cs="仿宋"/>
                <w:sz w:val="24"/>
              </w:rPr>
              <w:t>报价</w:t>
            </w:r>
          </w:p>
        </w:tc>
        <w:tc>
          <w:tcPr>
            <w:tcW w:w="841" w:type="dxa"/>
            <w:vAlign w:val="center"/>
          </w:tcPr>
          <w:p>
            <w:pPr>
              <w:spacing w:line="360" w:lineRule="auto"/>
              <w:ind w:firstLine="28"/>
              <w:jc w:val="center"/>
              <w:rPr>
                <w:rFonts w:ascii="仿宋" w:hAnsi="仿宋" w:eastAsia="仿宋" w:cs="仿宋"/>
                <w:sz w:val="24"/>
              </w:rPr>
            </w:pPr>
            <w:r>
              <w:rPr>
                <w:rFonts w:hint="eastAsia" w:ascii="仿宋" w:hAnsi="仿宋" w:eastAsia="仿宋" w:cs="仿宋"/>
                <w:sz w:val="24"/>
              </w:rPr>
              <w:t>5%</w:t>
            </w:r>
          </w:p>
        </w:tc>
        <w:tc>
          <w:tcPr>
            <w:tcW w:w="3315" w:type="dxa"/>
            <w:tcBorders>
              <w:bottom w:val="single" w:color="auto" w:sz="4" w:space="0"/>
            </w:tcBorders>
            <w:vAlign w:val="center"/>
          </w:tcPr>
          <w:p>
            <w:pPr>
              <w:spacing w:line="360" w:lineRule="auto"/>
              <w:rPr>
                <w:rFonts w:ascii="仿宋" w:hAnsi="仿宋" w:eastAsia="仿宋" w:cs="仿宋"/>
                <w:sz w:val="24"/>
              </w:rPr>
            </w:pPr>
            <w:r>
              <w:rPr>
                <w:rFonts w:hint="eastAsia" w:ascii="仿宋" w:hAnsi="仿宋" w:eastAsia="仿宋" w:cs="仿宋"/>
                <w:sz w:val="24"/>
              </w:rPr>
              <w:t>提供“信息配件和网络布点辅助材料清单”中的“</w:t>
            </w:r>
            <w:r>
              <w:rPr>
                <w:rFonts w:hint="eastAsia" w:ascii="仿宋" w:hAnsi="仿宋" w:eastAsia="仿宋"/>
                <w:sz w:val="24"/>
              </w:rPr>
              <w:t>投标折扣”</w:t>
            </w:r>
            <w:r>
              <w:rPr>
                <w:rFonts w:hint="eastAsia" w:ascii="仿宋" w:hAnsi="仿宋" w:eastAsia="仿宋" w:cs="仿宋"/>
                <w:sz w:val="24"/>
              </w:rPr>
              <w:t>。折扣不得超过100%，否则为无效投标。（统一折扣率应为XX%,例如80%即为打八折），折扣采用低价优先法计算，即满足招标文件要求且投标折扣最低的投标折扣为评标基准折扣，其价格分为满分。其他投标人的价格分统一按照下列公式计算：</w:t>
            </w:r>
          </w:p>
          <w:p>
            <w:pPr>
              <w:spacing w:line="360" w:lineRule="auto"/>
              <w:rPr>
                <w:rFonts w:hint="eastAsia" w:ascii="仿宋" w:hAnsi="仿宋" w:eastAsia="仿宋" w:cs="仿宋"/>
                <w:sz w:val="24"/>
                <w:lang w:eastAsia="zh-CN"/>
              </w:rPr>
            </w:pPr>
            <w:r>
              <w:rPr>
                <w:rFonts w:hint="eastAsia" w:ascii="仿宋" w:hAnsi="仿宋" w:eastAsia="仿宋" w:cs="仿宋"/>
                <w:sz w:val="24"/>
              </w:rPr>
              <w:t>投标价格得分=(评标基准折扣／投标折扣)×100</w:t>
            </w:r>
            <w:r>
              <w:rPr>
                <w:rFonts w:hint="eastAsia" w:ascii="仿宋" w:hAnsi="仿宋" w:eastAsia="仿宋" w:cs="仿宋"/>
                <w:sz w:val="24"/>
                <w:lang w:val="en-US" w:eastAsia="zh-CN"/>
              </w:rPr>
              <w:t>%</w:t>
            </w:r>
            <w:r>
              <w:rPr>
                <w:rFonts w:hint="eastAsia" w:ascii="仿宋" w:hAnsi="仿宋" w:eastAsia="仿宋" w:cs="仿宋"/>
                <w:sz w:val="24"/>
              </w:rPr>
              <w:t>×</w:t>
            </w:r>
            <w:r>
              <w:rPr>
                <w:rFonts w:hint="eastAsia" w:ascii="仿宋" w:hAnsi="仿宋" w:eastAsia="仿宋" w:cs="仿宋"/>
                <w:sz w:val="24"/>
                <w:lang w:val="en-US" w:eastAsia="zh-CN"/>
              </w:rPr>
              <w:t>5</w:t>
            </w:r>
          </w:p>
        </w:tc>
        <w:tc>
          <w:tcPr>
            <w:tcW w:w="1761" w:type="dxa"/>
            <w:vAlign w:val="center"/>
          </w:tcPr>
          <w:p>
            <w:pPr>
              <w:spacing w:line="360" w:lineRule="auto"/>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34" w:hRule="atLeast"/>
        </w:trPr>
        <w:tc>
          <w:tcPr>
            <w:tcW w:w="826" w:type="dxa"/>
            <w:vAlign w:val="center"/>
          </w:tcPr>
          <w:p>
            <w:pPr>
              <w:spacing w:line="360" w:lineRule="auto"/>
              <w:ind w:firstLine="28"/>
              <w:jc w:val="center"/>
              <w:rPr>
                <w:rFonts w:ascii="仿宋" w:hAnsi="仿宋" w:eastAsia="仿宋" w:cs="仿宋"/>
                <w:sz w:val="24"/>
              </w:rPr>
            </w:pPr>
            <w:r>
              <w:rPr>
                <w:rFonts w:hint="eastAsia" w:ascii="仿宋" w:hAnsi="仿宋" w:eastAsia="仿宋" w:cs="仿宋"/>
                <w:sz w:val="24"/>
              </w:rPr>
              <w:t>3</w:t>
            </w:r>
          </w:p>
        </w:tc>
        <w:tc>
          <w:tcPr>
            <w:tcW w:w="2212" w:type="dxa"/>
            <w:vAlign w:val="center"/>
          </w:tcPr>
          <w:p>
            <w:pPr>
              <w:spacing w:line="360" w:lineRule="auto"/>
              <w:jc w:val="center"/>
              <w:rPr>
                <w:rFonts w:ascii="仿宋" w:hAnsi="仿宋" w:eastAsia="仿宋" w:cs="仿宋"/>
                <w:sz w:val="24"/>
              </w:rPr>
            </w:pPr>
            <w:r>
              <w:rPr>
                <w:rFonts w:hint="eastAsia" w:ascii="仿宋" w:hAnsi="仿宋" w:eastAsia="仿宋" w:cs="仿宋"/>
                <w:sz w:val="24"/>
              </w:rPr>
              <w:t>服务要求</w:t>
            </w:r>
          </w:p>
          <w:p>
            <w:pPr>
              <w:spacing w:line="360" w:lineRule="auto"/>
              <w:rPr>
                <w:rFonts w:ascii="仿宋" w:hAnsi="仿宋" w:eastAsia="仿宋" w:cs="仿宋"/>
                <w:sz w:val="24"/>
              </w:rPr>
            </w:pPr>
            <w:r>
              <w:rPr>
                <w:rFonts w:hint="eastAsia" w:ascii="仿宋" w:hAnsi="仿宋" w:eastAsia="仿宋" w:cs="仿宋"/>
                <w:sz w:val="24"/>
              </w:rPr>
              <w:t>（技术评分因素）</w:t>
            </w:r>
          </w:p>
        </w:tc>
        <w:tc>
          <w:tcPr>
            <w:tcW w:w="841" w:type="dxa"/>
            <w:vAlign w:val="center"/>
          </w:tcPr>
          <w:p>
            <w:pPr>
              <w:spacing w:line="360" w:lineRule="auto"/>
              <w:ind w:firstLine="28"/>
              <w:jc w:val="center"/>
              <w:rPr>
                <w:rFonts w:ascii="仿宋" w:hAnsi="仿宋" w:eastAsia="仿宋" w:cs="仿宋"/>
                <w:sz w:val="24"/>
              </w:rPr>
            </w:pPr>
            <w:r>
              <w:rPr>
                <w:rFonts w:hint="eastAsia" w:ascii="仿宋" w:hAnsi="仿宋" w:eastAsia="仿宋" w:cs="仿宋"/>
                <w:sz w:val="24"/>
                <w:lang w:val="en-US" w:eastAsia="zh-CN"/>
              </w:rPr>
              <w:t>11</w:t>
            </w:r>
            <w:r>
              <w:rPr>
                <w:rFonts w:hint="eastAsia" w:ascii="仿宋" w:hAnsi="仿宋" w:eastAsia="仿宋" w:cs="仿宋"/>
                <w:sz w:val="24"/>
              </w:rPr>
              <w:t>%</w:t>
            </w:r>
          </w:p>
        </w:tc>
        <w:tc>
          <w:tcPr>
            <w:tcW w:w="3315" w:type="dxa"/>
            <w:tcBorders>
              <w:bottom w:val="single" w:color="auto" w:sz="4" w:space="0"/>
            </w:tcBorders>
            <w:vAlign w:val="center"/>
          </w:tcPr>
          <w:p>
            <w:pPr>
              <w:numPr>
                <w:ilvl w:val="0"/>
                <w:numId w:val="3"/>
              </w:numPr>
              <w:spacing w:line="360" w:lineRule="auto"/>
              <w:rPr>
                <w:rFonts w:ascii="仿宋" w:hAnsi="仿宋" w:eastAsia="仿宋" w:cs="仿宋"/>
                <w:sz w:val="24"/>
              </w:rPr>
            </w:pPr>
            <w:r>
              <w:rPr>
                <w:rFonts w:hint="eastAsia" w:ascii="仿宋" w:hAnsi="仿宋" w:eastAsia="仿宋" w:cs="仿宋"/>
                <w:sz w:val="24"/>
              </w:rPr>
              <w:t>投标文件完全满足招标文件中服务要求的得</w:t>
            </w:r>
            <w:r>
              <w:rPr>
                <w:rFonts w:hint="eastAsia" w:ascii="仿宋" w:hAnsi="仿宋" w:eastAsia="仿宋" w:cs="仿宋"/>
                <w:sz w:val="24"/>
                <w:lang w:val="en-US" w:eastAsia="zh-CN"/>
              </w:rPr>
              <w:t>11</w:t>
            </w:r>
            <w:r>
              <w:rPr>
                <w:rFonts w:hint="eastAsia" w:ascii="仿宋" w:hAnsi="仿宋" w:eastAsia="仿宋" w:cs="仿宋"/>
                <w:sz w:val="24"/>
              </w:rPr>
              <w:t>分；</w:t>
            </w:r>
          </w:p>
          <w:p>
            <w:pPr>
              <w:spacing w:line="360" w:lineRule="auto"/>
              <w:rPr>
                <w:rFonts w:ascii="仿宋" w:hAnsi="仿宋" w:eastAsia="仿宋" w:cs="仿宋"/>
                <w:sz w:val="24"/>
              </w:rPr>
            </w:pPr>
            <w:r>
              <w:rPr>
                <w:rFonts w:hint="eastAsia" w:ascii="仿宋" w:hAnsi="仿宋" w:eastAsia="仿宋" w:cs="仿宋"/>
                <w:sz w:val="24"/>
              </w:rPr>
              <w:t>2、服务要求中存在负偏离的，每一项扣</w:t>
            </w:r>
            <w:r>
              <w:rPr>
                <w:rFonts w:hint="eastAsia" w:ascii="仿宋" w:hAnsi="仿宋" w:eastAsia="仿宋" w:cs="仿宋"/>
                <w:sz w:val="24"/>
                <w:lang w:val="en-US" w:eastAsia="zh-CN"/>
              </w:rPr>
              <w:t>1</w:t>
            </w:r>
            <w:r>
              <w:rPr>
                <w:rFonts w:hint="eastAsia" w:ascii="仿宋" w:hAnsi="仿宋" w:eastAsia="仿宋" w:cs="仿宋"/>
                <w:sz w:val="24"/>
              </w:rPr>
              <w:t>分，扣完为止。</w:t>
            </w:r>
          </w:p>
        </w:tc>
        <w:tc>
          <w:tcPr>
            <w:tcW w:w="1761" w:type="dxa"/>
            <w:vAlign w:val="center"/>
          </w:tcPr>
          <w:p>
            <w:pPr>
              <w:spacing w:line="360" w:lineRule="auto"/>
              <w:rPr>
                <w:rFonts w:ascii="仿宋" w:hAnsi="仿宋" w:eastAsia="仿宋" w:cs="仿宋"/>
                <w:sz w:val="24"/>
              </w:rPr>
            </w:pPr>
            <w:r>
              <w:rPr>
                <w:rFonts w:hint="eastAsia" w:ascii="仿宋" w:hAnsi="仿宋" w:eastAsia="仿宋" w:cs="仿宋"/>
                <w:sz w:val="24"/>
              </w:rPr>
              <w:t>以投标人提供的投标文件为准。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4" w:hRule="atLeast"/>
        </w:trPr>
        <w:tc>
          <w:tcPr>
            <w:tcW w:w="826" w:type="dxa"/>
            <w:vAlign w:val="center"/>
          </w:tcPr>
          <w:p>
            <w:pPr>
              <w:spacing w:line="360" w:lineRule="auto"/>
              <w:ind w:firstLine="28"/>
              <w:jc w:val="center"/>
              <w:rPr>
                <w:rFonts w:ascii="仿宋" w:hAnsi="仿宋" w:eastAsia="仿宋" w:cs="仿宋"/>
                <w:sz w:val="24"/>
              </w:rPr>
            </w:pPr>
            <w:r>
              <w:rPr>
                <w:rFonts w:hint="eastAsia" w:ascii="仿宋" w:hAnsi="仿宋" w:eastAsia="仿宋" w:cs="仿宋"/>
                <w:sz w:val="24"/>
              </w:rPr>
              <w:t>4</w:t>
            </w:r>
          </w:p>
        </w:tc>
        <w:tc>
          <w:tcPr>
            <w:tcW w:w="2212" w:type="dxa"/>
            <w:vAlign w:val="center"/>
          </w:tcPr>
          <w:p>
            <w:pPr>
              <w:spacing w:line="360" w:lineRule="auto"/>
              <w:jc w:val="center"/>
              <w:rPr>
                <w:rFonts w:ascii="仿宋" w:hAnsi="仿宋" w:eastAsia="仿宋" w:cs="仿宋"/>
                <w:sz w:val="24"/>
              </w:rPr>
            </w:pPr>
            <w:r>
              <w:rPr>
                <w:rFonts w:hint="eastAsia" w:ascii="仿宋" w:hAnsi="仿宋" w:eastAsia="仿宋" w:cs="仿宋"/>
                <w:sz w:val="24"/>
              </w:rPr>
              <w:t>项目实施方案</w:t>
            </w:r>
          </w:p>
          <w:p>
            <w:pPr>
              <w:spacing w:line="360" w:lineRule="auto"/>
              <w:ind w:firstLine="28"/>
              <w:rPr>
                <w:rFonts w:ascii="仿宋" w:hAnsi="仿宋" w:eastAsia="仿宋" w:cs="仿宋"/>
                <w:sz w:val="24"/>
              </w:rPr>
            </w:pPr>
            <w:r>
              <w:rPr>
                <w:rFonts w:hint="eastAsia" w:ascii="仿宋" w:hAnsi="仿宋" w:eastAsia="仿宋" w:cs="仿宋"/>
                <w:sz w:val="24"/>
              </w:rPr>
              <w:t>（技术评分因素）</w:t>
            </w:r>
          </w:p>
        </w:tc>
        <w:tc>
          <w:tcPr>
            <w:tcW w:w="841" w:type="dxa"/>
            <w:vAlign w:val="center"/>
          </w:tcPr>
          <w:p>
            <w:pPr>
              <w:spacing w:line="360" w:lineRule="auto"/>
              <w:ind w:firstLine="28"/>
              <w:jc w:val="center"/>
              <w:rPr>
                <w:rFonts w:ascii="仿宋" w:hAnsi="仿宋" w:eastAsia="仿宋" w:cs="仿宋"/>
                <w:sz w:val="24"/>
              </w:rPr>
            </w:pPr>
            <w:r>
              <w:rPr>
                <w:rFonts w:hint="eastAsia" w:ascii="仿宋" w:hAnsi="仿宋" w:eastAsia="仿宋" w:cs="仿宋"/>
                <w:sz w:val="24"/>
              </w:rPr>
              <w:t>15%</w:t>
            </w:r>
          </w:p>
        </w:tc>
        <w:tc>
          <w:tcPr>
            <w:tcW w:w="3315" w:type="dxa"/>
            <w:tcBorders>
              <w:top w:val="single" w:color="auto" w:sz="4" w:space="0"/>
            </w:tcBorders>
            <w:vAlign w:val="center"/>
          </w:tcPr>
          <w:p>
            <w:pPr>
              <w:spacing w:line="360" w:lineRule="auto"/>
              <w:ind w:firstLine="28"/>
              <w:rPr>
                <w:rFonts w:ascii="仿宋" w:hAnsi="仿宋" w:eastAsia="仿宋" w:cs="仿宋"/>
                <w:sz w:val="24"/>
                <w:lang w:val="zh-CN"/>
              </w:rPr>
            </w:pPr>
            <w:r>
              <w:rPr>
                <w:rFonts w:hint="eastAsia" w:ascii="仿宋" w:hAnsi="仿宋" w:eastAsia="仿宋" w:cs="仿宋"/>
                <w:sz w:val="24"/>
              </w:rPr>
              <w:t>投标人根据采购人的实际需要，提供详细的项目实施方案</w:t>
            </w:r>
            <w:r>
              <w:rPr>
                <w:rFonts w:hint="eastAsia" w:ascii="仿宋" w:hAnsi="仿宋" w:eastAsia="仿宋" w:cs="仿宋"/>
                <w:sz w:val="24"/>
                <w:lang w:val="zh-CN"/>
              </w:rPr>
              <w:t>（内容包括但不限于人员安排计划、维护技术方案、实施保障措施、技术服务方案、应急措施等）对提供</w:t>
            </w:r>
            <w:r>
              <w:rPr>
                <w:rFonts w:hint="eastAsia" w:ascii="仿宋" w:hAnsi="仿宋" w:eastAsia="仿宋" w:cs="仿宋"/>
                <w:sz w:val="24"/>
              </w:rPr>
              <w:t>实施方案</w:t>
            </w:r>
            <w:r>
              <w:rPr>
                <w:rFonts w:hint="eastAsia" w:ascii="仿宋" w:hAnsi="仿宋" w:eastAsia="仿宋" w:cs="仿宋"/>
                <w:sz w:val="24"/>
                <w:lang w:val="zh-CN"/>
              </w:rPr>
              <w:t>的详细完整程度、合理性、全面性、可操作性等进行综合评审：（1）提供的方案内容每项都详细完整、全面合理、可操作性强，能充分体现投标人的</w:t>
            </w:r>
            <w:r>
              <w:rPr>
                <w:rFonts w:hint="eastAsia" w:ascii="仿宋" w:hAnsi="仿宋" w:eastAsia="仿宋" w:cs="仿宋"/>
                <w:sz w:val="24"/>
              </w:rPr>
              <w:t>实施方案</w:t>
            </w:r>
            <w:r>
              <w:rPr>
                <w:rFonts w:hint="eastAsia" w:ascii="仿宋" w:hAnsi="仿宋" w:eastAsia="仿宋" w:cs="仿宋"/>
                <w:sz w:val="24"/>
                <w:lang w:val="zh-CN"/>
              </w:rPr>
              <w:t>能力的得</w:t>
            </w:r>
            <w:r>
              <w:rPr>
                <w:rFonts w:hint="eastAsia" w:ascii="仿宋" w:hAnsi="仿宋" w:eastAsia="仿宋" w:cs="仿宋"/>
                <w:sz w:val="24"/>
              </w:rPr>
              <w:t>15</w:t>
            </w:r>
            <w:r>
              <w:rPr>
                <w:rFonts w:hint="eastAsia" w:ascii="仿宋" w:hAnsi="仿宋" w:eastAsia="仿宋" w:cs="仿宋"/>
                <w:sz w:val="24"/>
                <w:lang w:val="zh-CN"/>
              </w:rPr>
              <w:t>分；</w:t>
            </w:r>
          </w:p>
          <w:p>
            <w:pPr>
              <w:spacing w:line="360" w:lineRule="auto"/>
              <w:ind w:firstLine="28"/>
              <w:rPr>
                <w:rFonts w:ascii="仿宋" w:hAnsi="仿宋" w:eastAsia="仿宋" w:cs="仿宋"/>
                <w:sz w:val="24"/>
                <w:lang w:val="zh-CN"/>
              </w:rPr>
            </w:pPr>
            <w:r>
              <w:rPr>
                <w:rFonts w:hint="eastAsia" w:ascii="仿宋" w:hAnsi="仿宋" w:eastAsia="仿宋" w:cs="仿宋"/>
                <w:sz w:val="24"/>
                <w:lang w:val="zh-CN"/>
              </w:rPr>
              <w:t>（2）提供的方案内容中每有一项不完善详细或不全面或不合理或不具备可操作性，无法充分体现投标人的</w:t>
            </w:r>
            <w:r>
              <w:rPr>
                <w:rFonts w:hint="eastAsia" w:ascii="仿宋" w:hAnsi="仿宋" w:eastAsia="仿宋" w:cs="仿宋"/>
                <w:sz w:val="24"/>
              </w:rPr>
              <w:t>实施方案</w:t>
            </w:r>
            <w:r>
              <w:rPr>
                <w:rFonts w:hint="eastAsia" w:ascii="仿宋" w:hAnsi="仿宋" w:eastAsia="仿宋" w:cs="仿宋"/>
                <w:sz w:val="24"/>
                <w:lang w:val="zh-CN"/>
              </w:rPr>
              <w:t>能力的，每有一项扣</w:t>
            </w:r>
            <w:r>
              <w:rPr>
                <w:rFonts w:hint="eastAsia" w:ascii="仿宋" w:hAnsi="仿宋" w:eastAsia="仿宋" w:cs="仿宋"/>
                <w:sz w:val="24"/>
              </w:rPr>
              <w:t>3</w:t>
            </w:r>
            <w:r>
              <w:rPr>
                <w:rFonts w:hint="eastAsia" w:ascii="仿宋" w:hAnsi="仿宋" w:eastAsia="仿宋" w:cs="仿宋"/>
                <w:sz w:val="24"/>
                <w:lang w:val="zh-CN"/>
              </w:rPr>
              <w:t>分，扣完为止；</w:t>
            </w:r>
          </w:p>
          <w:p>
            <w:pPr>
              <w:spacing w:line="360" w:lineRule="auto"/>
              <w:rPr>
                <w:rFonts w:ascii="仿宋" w:hAnsi="仿宋" w:eastAsia="仿宋" w:cs="仿宋"/>
                <w:sz w:val="24"/>
              </w:rPr>
            </w:pPr>
            <w:r>
              <w:rPr>
                <w:rFonts w:hint="eastAsia" w:ascii="仿宋" w:hAnsi="仿宋" w:eastAsia="仿宋" w:cs="仿宋"/>
                <w:sz w:val="24"/>
                <w:lang w:val="zh-CN"/>
              </w:rPr>
              <w:t>（3）未提供不得分。</w:t>
            </w:r>
          </w:p>
        </w:tc>
        <w:tc>
          <w:tcPr>
            <w:tcW w:w="1761" w:type="dxa"/>
            <w:vAlign w:val="center"/>
          </w:tcPr>
          <w:p>
            <w:pPr>
              <w:spacing w:line="360" w:lineRule="auto"/>
              <w:ind w:left="-38"/>
              <w:rPr>
                <w:rFonts w:ascii="仿宋" w:hAnsi="仿宋" w:eastAsia="仿宋" w:cs="仿宋"/>
                <w:sz w:val="24"/>
              </w:rPr>
            </w:pPr>
            <w:r>
              <w:rPr>
                <w:rFonts w:hint="eastAsia" w:ascii="仿宋" w:hAnsi="仿宋" w:eastAsia="仿宋" w:cs="仿宋"/>
                <w:sz w:val="24"/>
              </w:rPr>
              <w:t>以投标人提供的投标文件为准。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vAlign w:val="center"/>
          </w:tcPr>
          <w:p>
            <w:pPr>
              <w:spacing w:line="360" w:lineRule="auto"/>
              <w:ind w:firstLine="28"/>
              <w:jc w:val="center"/>
              <w:rPr>
                <w:rFonts w:ascii="仿宋" w:hAnsi="仿宋" w:eastAsia="仿宋" w:cs="仿宋"/>
                <w:sz w:val="24"/>
              </w:rPr>
            </w:pPr>
            <w:r>
              <w:rPr>
                <w:rFonts w:hint="eastAsia" w:ascii="仿宋" w:hAnsi="仿宋" w:eastAsia="仿宋" w:cs="仿宋"/>
                <w:sz w:val="24"/>
              </w:rPr>
              <w:t>5</w:t>
            </w:r>
          </w:p>
        </w:tc>
        <w:tc>
          <w:tcPr>
            <w:tcW w:w="2212" w:type="dxa"/>
            <w:vAlign w:val="center"/>
          </w:tcPr>
          <w:p>
            <w:pPr>
              <w:spacing w:line="360" w:lineRule="auto"/>
              <w:ind w:firstLine="28"/>
              <w:jc w:val="center"/>
              <w:rPr>
                <w:rFonts w:ascii="仿宋" w:hAnsi="仿宋" w:eastAsia="仿宋" w:cs="仿宋"/>
                <w:sz w:val="24"/>
              </w:rPr>
            </w:pPr>
            <w:r>
              <w:rPr>
                <w:rFonts w:hint="eastAsia" w:ascii="仿宋" w:hAnsi="仿宋" w:eastAsia="仿宋" w:cs="仿宋"/>
                <w:sz w:val="24"/>
              </w:rPr>
              <w:t>售后服务</w:t>
            </w:r>
          </w:p>
          <w:p>
            <w:pPr>
              <w:spacing w:line="360" w:lineRule="auto"/>
              <w:ind w:firstLine="28"/>
              <w:jc w:val="center"/>
              <w:rPr>
                <w:rFonts w:ascii="仿宋" w:hAnsi="仿宋" w:eastAsia="仿宋" w:cs="仿宋"/>
                <w:sz w:val="24"/>
              </w:rPr>
            </w:pPr>
            <w:r>
              <w:rPr>
                <w:rFonts w:hint="eastAsia" w:ascii="仿宋" w:hAnsi="仿宋" w:eastAsia="仿宋" w:cs="仿宋"/>
                <w:sz w:val="24"/>
              </w:rPr>
              <w:t>（技术评分因素）</w:t>
            </w:r>
          </w:p>
        </w:tc>
        <w:tc>
          <w:tcPr>
            <w:tcW w:w="841" w:type="dxa"/>
            <w:vAlign w:val="center"/>
          </w:tcPr>
          <w:p>
            <w:pPr>
              <w:spacing w:line="360" w:lineRule="auto"/>
              <w:ind w:firstLine="28"/>
              <w:jc w:val="center"/>
              <w:rPr>
                <w:rFonts w:ascii="仿宋" w:hAnsi="仿宋" w:eastAsia="仿宋" w:cs="仿宋"/>
                <w:sz w:val="24"/>
              </w:rPr>
            </w:pPr>
            <w:r>
              <w:rPr>
                <w:rFonts w:hint="eastAsia" w:ascii="仿宋" w:hAnsi="仿宋" w:eastAsia="仿宋" w:cs="仿宋"/>
                <w:sz w:val="24"/>
                <w:lang w:val="en-US" w:eastAsia="zh-CN"/>
              </w:rPr>
              <w:t>20</w:t>
            </w:r>
            <w:r>
              <w:rPr>
                <w:rFonts w:hint="eastAsia" w:ascii="仿宋" w:hAnsi="仿宋" w:eastAsia="仿宋" w:cs="仿宋"/>
                <w:sz w:val="24"/>
              </w:rPr>
              <w:t>%</w:t>
            </w:r>
          </w:p>
        </w:tc>
        <w:tc>
          <w:tcPr>
            <w:tcW w:w="3315" w:type="dxa"/>
            <w:vAlign w:val="center"/>
          </w:tcPr>
          <w:p>
            <w:pPr>
              <w:spacing w:line="360" w:lineRule="auto"/>
              <w:ind w:firstLine="28"/>
              <w:rPr>
                <w:rFonts w:ascii="仿宋" w:hAnsi="仿宋" w:eastAsia="仿宋" w:cs="仿宋"/>
                <w:sz w:val="24"/>
                <w:lang w:val="zh-CN"/>
              </w:rPr>
            </w:pPr>
            <w:r>
              <w:rPr>
                <w:rFonts w:hint="eastAsia" w:ascii="仿宋" w:hAnsi="仿宋" w:eastAsia="仿宋" w:cs="仿宋"/>
                <w:sz w:val="24"/>
                <w:lang w:val="zh-CN"/>
              </w:rPr>
              <w:t>投标人结合本项目及采购人实际需要，提供售后服务与培训方案（内容包括但不限于现场服务支持能力、质保定期巡检制度、售后服务人员经验、处理程序、应急维修响应时效等），对提供售后服务与培训方案的详细完整程度、合理性、全面性、可操作性等进行综合评审：</w:t>
            </w:r>
          </w:p>
          <w:p>
            <w:pPr>
              <w:spacing w:line="360" w:lineRule="auto"/>
              <w:ind w:firstLine="28"/>
              <w:rPr>
                <w:rFonts w:ascii="仿宋" w:hAnsi="仿宋" w:eastAsia="仿宋" w:cs="仿宋"/>
                <w:sz w:val="24"/>
                <w:lang w:val="zh-CN"/>
              </w:rPr>
            </w:pPr>
            <w:r>
              <w:rPr>
                <w:rFonts w:hint="eastAsia" w:ascii="仿宋" w:hAnsi="仿宋" w:eastAsia="仿宋" w:cs="仿宋"/>
                <w:sz w:val="24"/>
                <w:lang w:val="zh-CN"/>
              </w:rPr>
              <w:t>（1）提供的方案内容每项都详细完整、全面合理、可操作性强，能充分体现投标人的售后服务能力的得</w:t>
            </w:r>
            <w:r>
              <w:rPr>
                <w:rFonts w:hint="eastAsia" w:ascii="仿宋" w:hAnsi="仿宋" w:eastAsia="仿宋" w:cs="仿宋"/>
                <w:sz w:val="24"/>
                <w:lang w:val="en-US" w:eastAsia="zh-CN"/>
              </w:rPr>
              <w:t>20</w:t>
            </w:r>
            <w:r>
              <w:rPr>
                <w:rFonts w:hint="eastAsia" w:ascii="仿宋" w:hAnsi="仿宋" w:eastAsia="仿宋" w:cs="仿宋"/>
                <w:sz w:val="24"/>
                <w:lang w:val="zh-CN"/>
              </w:rPr>
              <w:t>分；</w:t>
            </w:r>
          </w:p>
          <w:p>
            <w:pPr>
              <w:spacing w:line="360" w:lineRule="auto"/>
              <w:ind w:firstLine="28"/>
              <w:rPr>
                <w:rFonts w:ascii="仿宋" w:hAnsi="仿宋" w:eastAsia="仿宋" w:cs="仿宋"/>
                <w:sz w:val="24"/>
                <w:lang w:val="zh-CN"/>
              </w:rPr>
            </w:pPr>
            <w:r>
              <w:rPr>
                <w:rFonts w:hint="eastAsia" w:ascii="仿宋" w:hAnsi="仿宋" w:eastAsia="仿宋" w:cs="仿宋"/>
                <w:sz w:val="24"/>
                <w:lang w:val="zh-CN"/>
              </w:rPr>
              <w:t>（2）提供的方案内容中每有一项不完善详细或不全面或不合理或不具备可操作性，无法充分体现投标人的售后服务能力的，每有一项扣</w:t>
            </w:r>
            <w:r>
              <w:rPr>
                <w:rFonts w:hint="eastAsia" w:ascii="仿宋" w:hAnsi="仿宋" w:eastAsia="仿宋" w:cs="仿宋"/>
                <w:sz w:val="24"/>
                <w:lang w:val="en-US" w:eastAsia="zh-CN"/>
              </w:rPr>
              <w:t>4</w:t>
            </w:r>
            <w:r>
              <w:rPr>
                <w:rFonts w:hint="eastAsia" w:ascii="仿宋" w:hAnsi="仿宋" w:eastAsia="仿宋" w:cs="仿宋"/>
                <w:sz w:val="24"/>
                <w:lang w:val="zh-CN"/>
              </w:rPr>
              <w:t>分，扣完为止；</w:t>
            </w:r>
          </w:p>
          <w:p>
            <w:pPr>
              <w:spacing w:line="360" w:lineRule="auto"/>
              <w:ind w:firstLine="28"/>
              <w:rPr>
                <w:rFonts w:ascii="仿宋" w:hAnsi="仿宋" w:eastAsia="仿宋" w:cs="仿宋"/>
                <w:sz w:val="24"/>
              </w:rPr>
            </w:pPr>
            <w:r>
              <w:rPr>
                <w:rFonts w:hint="eastAsia" w:ascii="仿宋" w:hAnsi="仿宋" w:eastAsia="仿宋" w:cs="仿宋"/>
                <w:sz w:val="24"/>
                <w:lang w:val="zh-CN"/>
              </w:rPr>
              <w:t>（3）未提供不得分。</w:t>
            </w:r>
          </w:p>
        </w:tc>
        <w:tc>
          <w:tcPr>
            <w:tcW w:w="1761" w:type="dxa"/>
            <w:vAlign w:val="center"/>
          </w:tcPr>
          <w:p>
            <w:pPr>
              <w:spacing w:line="360" w:lineRule="auto"/>
              <w:ind w:left="-38"/>
              <w:rPr>
                <w:rFonts w:ascii="仿宋" w:hAnsi="仿宋" w:eastAsia="仿宋" w:cs="仿宋"/>
                <w:sz w:val="24"/>
              </w:rPr>
            </w:pPr>
            <w:r>
              <w:rPr>
                <w:rFonts w:hint="eastAsia" w:ascii="仿宋" w:hAnsi="仿宋" w:eastAsia="仿宋" w:cs="仿宋"/>
                <w:sz w:val="24"/>
              </w:rPr>
              <w:t>以投标人提供的投标文件为准。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vAlign w:val="center"/>
          </w:tcPr>
          <w:p>
            <w:pPr>
              <w:spacing w:line="360" w:lineRule="auto"/>
              <w:ind w:firstLine="28"/>
              <w:jc w:val="center"/>
              <w:rPr>
                <w:rFonts w:ascii="仿宋" w:hAnsi="仿宋" w:eastAsia="仿宋" w:cs="仿宋"/>
                <w:sz w:val="24"/>
                <w:highlight w:val="none"/>
              </w:rPr>
            </w:pPr>
            <w:r>
              <w:rPr>
                <w:rFonts w:hint="eastAsia" w:ascii="仿宋" w:hAnsi="仿宋" w:eastAsia="仿宋" w:cs="仿宋"/>
                <w:sz w:val="24"/>
                <w:highlight w:val="none"/>
              </w:rPr>
              <w:t>6</w:t>
            </w:r>
          </w:p>
        </w:tc>
        <w:tc>
          <w:tcPr>
            <w:tcW w:w="2212" w:type="dxa"/>
            <w:vAlign w:val="center"/>
          </w:tcPr>
          <w:p>
            <w:pPr>
              <w:spacing w:line="360" w:lineRule="auto"/>
              <w:ind w:firstLine="28"/>
              <w:jc w:val="center"/>
              <w:rPr>
                <w:rFonts w:ascii="仿宋" w:hAnsi="仿宋" w:eastAsia="仿宋" w:cs="仿宋"/>
                <w:sz w:val="24"/>
                <w:highlight w:val="none"/>
              </w:rPr>
            </w:pPr>
            <w:r>
              <w:rPr>
                <w:rFonts w:hint="eastAsia" w:ascii="仿宋" w:hAnsi="仿宋" w:eastAsia="仿宋" w:cs="仿宋"/>
                <w:sz w:val="24"/>
                <w:highlight w:val="none"/>
              </w:rPr>
              <w:t>培训方案</w:t>
            </w:r>
          </w:p>
          <w:p>
            <w:pPr>
              <w:spacing w:line="360" w:lineRule="auto"/>
              <w:ind w:firstLine="28"/>
              <w:jc w:val="center"/>
              <w:rPr>
                <w:rFonts w:ascii="仿宋" w:hAnsi="仿宋" w:eastAsia="仿宋" w:cs="仿宋"/>
                <w:sz w:val="24"/>
                <w:highlight w:val="none"/>
              </w:rPr>
            </w:pPr>
            <w:r>
              <w:rPr>
                <w:rFonts w:hint="eastAsia" w:ascii="仿宋" w:hAnsi="仿宋" w:eastAsia="仿宋" w:cs="仿宋"/>
                <w:sz w:val="24"/>
                <w:highlight w:val="none"/>
              </w:rPr>
              <w:t>（技术评分因素）</w:t>
            </w:r>
          </w:p>
        </w:tc>
        <w:tc>
          <w:tcPr>
            <w:tcW w:w="841" w:type="dxa"/>
            <w:vAlign w:val="center"/>
          </w:tcPr>
          <w:p>
            <w:pPr>
              <w:spacing w:line="360" w:lineRule="auto"/>
              <w:ind w:firstLine="28"/>
              <w:jc w:val="center"/>
              <w:rPr>
                <w:rFonts w:ascii="仿宋" w:hAnsi="仿宋" w:eastAsia="仿宋" w:cs="仿宋"/>
                <w:sz w:val="24"/>
                <w:highlight w:val="none"/>
              </w:rPr>
            </w:pPr>
            <w:r>
              <w:rPr>
                <w:rFonts w:hint="eastAsia" w:ascii="仿宋" w:hAnsi="仿宋" w:eastAsia="仿宋" w:cs="仿宋"/>
                <w:sz w:val="24"/>
                <w:highlight w:val="none"/>
                <w:lang w:val="en-US" w:eastAsia="zh-CN"/>
              </w:rPr>
              <w:t>16</w:t>
            </w:r>
            <w:r>
              <w:rPr>
                <w:rFonts w:hint="eastAsia" w:ascii="仿宋" w:hAnsi="仿宋" w:eastAsia="仿宋" w:cs="仿宋"/>
                <w:sz w:val="24"/>
                <w:highlight w:val="none"/>
              </w:rPr>
              <w:t>%</w:t>
            </w:r>
          </w:p>
        </w:tc>
        <w:tc>
          <w:tcPr>
            <w:tcW w:w="3315" w:type="dxa"/>
            <w:vAlign w:val="center"/>
          </w:tcPr>
          <w:p>
            <w:pPr>
              <w:spacing w:line="360" w:lineRule="auto"/>
              <w:ind w:firstLine="28"/>
              <w:rPr>
                <w:rFonts w:ascii="仿宋" w:hAnsi="仿宋" w:eastAsia="仿宋" w:cs="仿宋"/>
                <w:sz w:val="24"/>
                <w:highlight w:val="none"/>
                <w:lang w:val="zh-CN"/>
              </w:rPr>
            </w:pPr>
            <w:r>
              <w:rPr>
                <w:rFonts w:hint="eastAsia" w:ascii="仿宋" w:hAnsi="仿宋" w:eastAsia="仿宋" w:cs="仿宋"/>
                <w:sz w:val="24"/>
                <w:highlight w:val="none"/>
                <w:lang w:val="zh-CN"/>
              </w:rPr>
              <w:t>投标人结合本项目及招标人实际需要，提供技术培训方案（内容包括现场培训计划、基础故障处理措施、培训内容、培训考核措施等），对提供技术培训方案的详细完整程度、合理性、全面性、可操作性等进行综合评审：</w:t>
            </w:r>
          </w:p>
          <w:p>
            <w:pPr>
              <w:spacing w:line="360" w:lineRule="auto"/>
              <w:ind w:firstLine="28"/>
              <w:rPr>
                <w:rFonts w:ascii="仿宋" w:hAnsi="仿宋" w:eastAsia="仿宋" w:cs="仿宋"/>
                <w:sz w:val="24"/>
                <w:highlight w:val="none"/>
                <w:lang w:val="zh-CN"/>
              </w:rPr>
            </w:pPr>
            <w:r>
              <w:rPr>
                <w:rFonts w:hint="eastAsia" w:ascii="仿宋" w:hAnsi="仿宋" w:eastAsia="仿宋" w:cs="仿宋"/>
                <w:sz w:val="24"/>
                <w:highlight w:val="none"/>
                <w:lang w:val="zh-CN"/>
              </w:rPr>
              <w:t>（1）提供的方案内容每项都详细完整、全面合理、可操作性强，能充分体现投标人的技术培训能力的得</w:t>
            </w:r>
            <w:r>
              <w:rPr>
                <w:rFonts w:hint="eastAsia" w:ascii="仿宋" w:hAnsi="仿宋" w:eastAsia="仿宋" w:cs="仿宋"/>
                <w:sz w:val="24"/>
                <w:highlight w:val="none"/>
                <w:lang w:val="en-US" w:eastAsia="zh-CN"/>
              </w:rPr>
              <w:t>16</w:t>
            </w:r>
            <w:r>
              <w:rPr>
                <w:rFonts w:hint="eastAsia" w:ascii="仿宋" w:hAnsi="仿宋" w:eastAsia="仿宋" w:cs="仿宋"/>
                <w:sz w:val="24"/>
                <w:highlight w:val="none"/>
                <w:lang w:val="zh-CN"/>
              </w:rPr>
              <w:t>分；</w:t>
            </w:r>
          </w:p>
          <w:p>
            <w:pPr>
              <w:spacing w:line="360" w:lineRule="auto"/>
              <w:ind w:firstLine="28"/>
              <w:rPr>
                <w:rFonts w:ascii="仿宋" w:hAnsi="仿宋" w:eastAsia="仿宋" w:cs="仿宋"/>
                <w:sz w:val="24"/>
                <w:highlight w:val="none"/>
                <w:lang w:val="zh-CN"/>
              </w:rPr>
            </w:pPr>
            <w:r>
              <w:rPr>
                <w:rFonts w:hint="eastAsia" w:ascii="仿宋" w:hAnsi="仿宋" w:eastAsia="仿宋" w:cs="仿宋"/>
                <w:sz w:val="24"/>
                <w:highlight w:val="none"/>
                <w:lang w:val="zh-CN"/>
              </w:rPr>
              <w:t>（2）提供的方案内容中每有一项不完善详细或不全面或不合理或不具备可操作性，无法充分体现投标人的技术培训能力的，每有一项扣</w:t>
            </w:r>
            <w:r>
              <w:rPr>
                <w:rFonts w:hint="eastAsia" w:ascii="仿宋" w:hAnsi="仿宋" w:eastAsia="仿宋" w:cs="仿宋"/>
                <w:sz w:val="24"/>
                <w:highlight w:val="none"/>
                <w:lang w:val="en-US" w:eastAsia="zh-CN"/>
              </w:rPr>
              <w:t>4</w:t>
            </w:r>
            <w:r>
              <w:rPr>
                <w:rFonts w:hint="eastAsia" w:ascii="仿宋" w:hAnsi="仿宋" w:eastAsia="仿宋" w:cs="仿宋"/>
                <w:sz w:val="24"/>
                <w:highlight w:val="none"/>
              </w:rPr>
              <w:t xml:space="preserve"> </w:t>
            </w:r>
            <w:r>
              <w:rPr>
                <w:rFonts w:hint="eastAsia" w:ascii="仿宋" w:hAnsi="仿宋" w:eastAsia="仿宋" w:cs="仿宋"/>
                <w:sz w:val="24"/>
                <w:highlight w:val="none"/>
                <w:lang w:val="zh-CN"/>
              </w:rPr>
              <w:t>分，扣完为止；</w:t>
            </w:r>
          </w:p>
          <w:p>
            <w:pPr>
              <w:spacing w:line="360" w:lineRule="auto"/>
              <w:rPr>
                <w:rFonts w:ascii="仿宋" w:hAnsi="仿宋" w:eastAsia="仿宋" w:cs="仿宋"/>
                <w:sz w:val="24"/>
                <w:highlight w:val="none"/>
              </w:rPr>
            </w:pPr>
            <w:r>
              <w:rPr>
                <w:rFonts w:hint="eastAsia" w:ascii="仿宋" w:hAnsi="仿宋" w:eastAsia="仿宋" w:cs="仿宋"/>
                <w:sz w:val="24"/>
                <w:highlight w:val="none"/>
                <w:lang w:val="zh-CN"/>
              </w:rPr>
              <w:t>（3）未提供不得分。</w:t>
            </w:r>
          </w:p>
        </w:tc>
        <w:tc>
          <w:tcPr>
            <w:tcW w:w="1761" w:type="dxa"/>
            <w:vAlign w:val="center"/>
          </w:tcPr>
          <w:p>
            <w:pPr>
              <w:spacing w:line="360" w:lineRule="auto"/>
              <w:ind w:left="-38"/>
              <w:rPr>
                <w:rFonts w:ascii="仿宋" w:hAnsi="仿宋" w:eastAsia="仿宋" w:cs="仿宋"/>
                <w:sz w:val="24"/>
                <w:highlight w:val="yellow"/>
              </w:rPr>
            </w:pPr>
            <w:r>
              <w:rPr>
                <w:rFonts w:hint="eastAsia" w:ascii="仿宋" w:hAnsi="仿宋" w:eastAsia="仿宋" w:cs="仿宋"/>
                <w:sz w:val="24"/>
                <w:highlight w:val="none"/>
              </w:rPr>
              <w:t>以投标人提供的投标文件为准。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vAlign w:val="center"/>
          </w:tcPr>
          <w:p>
            <w:pPr>
              <w:spacing w:line="360" w:lineRule="auto"/>
              <w:ind w:firstLine="28"/>
              <w:jc w:val="center"/>
              <w:rPr>
                <w:rFonts w:ascii="仿宋" w:hAnsi="仿宋" w:eastAsia="仿宋" w:cs="仿宋"/>
                <w:sz w:val="24"/>
              </w:rPr>
            </w:pPr>
            <w:r>
              <w:rPr>
                <w:rFonts w:hint="eastAsia" w:ascii="仿宋" w:hAnsi="仿宋" w:eastAsia="仿宋" w:cs="仿宋"/>
                <w:sz w:val="24"/>
              </w:rPr>
              <w:t>7</w:t>
            </w:r>
          </w:p>
        </w:tc>
        <w:tc>
          <w:tcPr>
            <w:tcW w:w="2212" w:type="dxa"/>
            <w:vAlign w:val="center"/>
          </w:tcPr>
          <w:p>
            <w:pPr>
              <w:spacing w:line="360" w:lineRule="auto"/>
              <w:ind w:firstLine="28"/>
              <w:jc w:val="center"/>
              <w:rPr>
                <w:rFonts w:ascii="仿宋" w:hAnsi="仿宋" w:eastAsia="仿宋" w:cs="仿宋"/>
                <w:sz w:val="24"/>
              </w:rPr>
            </w:pPr>
            <w:r>
              <w:rPr>
                <w:rFonts w:hint="eastAsia" w:ascii="仿宋" w:hAnsi="仿宋" w:eastAsia="仿宋" w:cs="仿宋"/>
                <w:sz w:val="24"/>
              </w:rPr>
              <w:t>服务质量保障</w:t>
            </w:r>
          </w:p>
        </w:tc>
        <w:tc>
          <w:tcPr>
            <w:tcW w:w="841" w:type="dxa"/>
            <w:vAlign w:val="center"/>
          </w:tcPr>
          <w:p>
            <w:pPr>
              <w:spacing w:line="360" w:lineRule="auto"/>
              <w:ind w:firstLine="28"/>
              <w:jc w:val="center"/>
              <w:rPr>
                <w:rFonts w:ascii="仿宋" w:hAnsi="仿宋" w:eastAsia="仿宋" w:cs="仿宋"/>
                <w:sz w:val="24"/>
              </w:rPr>
            </w:pPr>
            <w:r>
              <w:rPr>
                <w:rFonts w:hint="eastAsia" w:ascii="仿宋" w:hAnsi="仿宋" w:eastAsia="仿宋" w:cs="仿宋"/>
                <w:sz w:val="24"/>
              </w:rPr>
              <w:t>8%</w:t>
            </w:r>
          </w:p>
        </w:tc>
        <w:tc>
          <w:tcPr>
            <w:tcW w:w="3315" w:type="dxa"/>
            <w:vAlign w:val="center"/>
          </w:tcPr>
          <w:p>
            <w:pPr>
              <w:spacing w:line="360" w:lineRule="auto"/>
              <w:ind w:firstLine="28"/>
              <w:jc w:val="left"/>
              <w:rPr>
                <w:rFonts w:ascii="仿宋" w:hAnsi="仿宋" w:eastAsia="仿宋" w:cs="仿宋"/>
                <w:sz w:val="24"/>
                <w:lang w:val="zh-CN"/>
              </w:rPr>
            </w:pPr>
            <w:r>
              <w:rPr>
                <w:rFonts w:hint="eastAsia" w:ascii="仿宋" w:hAnsi="仿宋" w:eastAsia="仿宋"/>
                <w:color w:val="000000"/>
                <w:sz w:val="24"/>
              </w:rPr>
              <w:t>投标人具有ISO9001</w:t>
            </w:r>
            <w:r>
              <w:rPr>
                <w:rFonts w:hint="eastAsia" w:ascii="仿宋" w:hAnsi="仿宋" w:eastAsia="仿宋"/>
                <w:color w:val="000000"/>
                <w:sz w:val="24"/>
                <w:lang w:eastAsia="zh-CN"/>
              </w:rPr>
              <w:t>、</w:t>
            </w:r>
            <w:r>
              <w:rPr>
                <w:rFonts w:hint="eastAsia" w:ascii="仿宋" w:hAnsi="仿宋" w:eastAsia="仿宋"/>
                <w:color w:val="000000"/>
                <w:sz w:val="24"/>
              </w:rPr>
              <w:t>ISO14001</w:t>
            </w:r>
            <w:r>
              <w:rPr>
                <w:rFonts w:hint="eastAsia" w:ascii="仿宋" w:hAnsi="仿宋" w:eastAsia="仿宋"/>
                <w:color w:val="000000"/>
                <w:sz w:val="24"/>
                <w:lang w:eastAsia="zh-CN"/>
              </w:rPr>
              <w:t>、</w:t>
            </w:r>
            <w:r>
              <w:rPr>
                <w:rFonts w:hint="eastAsia" w:ascii="仿宋" w:hAnsi="仿宋" w:eastAsia="仿宋"/>
                <w:color w:val="000000"/>
                <w:sz w:val="24"/>
              </w:rPr>
              <w:t>ISO45001质量体系认证</w:t>
            </w:r>
            <w:r>
              <w:rPr>
                <w:rFonts w:hint="eastAsia" w:ascii="仿宋" w:hAnsi="仿宋" w:eastAsia="仿宋"/>
                <w:color w:val="000000"/>
                <w:sz w:val="24"/>
                <w:lang w:val="en-US" w:eastAsia="zh-CN"/>
              </w:rPr>
              <w:t>及</w:t>
            </w:r>
            <w:r>
              <w:rPr>
                <w:rFonts w:hint="eastAsia" w:ascii="仿宋" w:hAnsi="仿宋" w:eastAsia="仿宋"/>
                <w:color w:val="000000"/>
                <w:sz w:val="24"/>
              </w:rPr>
              <w:t>五星级售后服务认证并加盖投标人公章，每提供一个得2分。</w:t>
            </w:r>
          </w:p>
        </w:tc>
        <w:tc>
          <w:tcPr>
            <w:tcW w:w="1761" w:type="dxa"/>
            <w:vAlign w:val="center"/>
          </w:tcPr>
          <w:p>
            <w:pPr>
              <w:spacing w:line="360" w:lineRule="auto"/>
              <w:ind w:left="-38"/>
              <w:rPr>
                <w:rFonts w:ascii="仿宋" w:hAnsi="仿宋" w:eastAsia="仿宋" w:cs="仿宋"/>
                <w:sz w:val="24"/>
              </w:rPr>
            </w:pPr>
          </w:p>
        </w:tc>
      </w:tr>
      <w:bookmarkEnd w:id="0"/>
    </w:tbl>
    <w:p>
      <w:pPr>
        <w:pStyle w:val="3"/>
        <w:ind w:firstLine="0" w:firstLineChars="0"/>
        <w:rPr>
          <w:rFonts w:ascii="仿宋" w:hAnsi="仿宋" w:eastAsia="仿宋"/>
          <w:b/>
          <w:bCs/>
          <w:sz w:val="24"/>
        </w:rPr>
      </w:pPr>
      <w:r>
        <w:rPr>
          <w:rFonts w:hint="eastAsia" w:ascii="仿宋" w:hAnsi="仿宋" w:eastAsia="仿宋"/>
          <w:b/>
          <w:bCs/>
          <w:sz w:val="24"/>
        </w:rPr>
        <w:t>注：评分的取值按四舍五入法，保留小数点后两位。</w:t>
      </w:r>
    </w:p>
    <w:p>
      <w:pPr>
        <w:pStyle w:val="3"/>
        <w:ind w:firstLine="0" w:firstLineChars="0"/>
        <w:rPr>
          <w:rFonts w:ascii="仿宋" w:hAnsi="仿宋" w:eastAsia="仿宋"/>
          <w:b/>
          <w:bCs/>
          <w:color w:val="000000" w:themeColor="text1"/>
          <w:sz w:val="32"/>
          <w:szCs w:val="32"/>
          <w14:textFill>
            <w14:solidFill>
              <w14:schemeClr w14:val="tx1"/>
            </w14:solidFill>
          </w14:textFill>
        </w:rPr>
      </w:pPr>
    </w:p>
    <w:p>
      <w:pPr>
        <w:pStyle w:val="3"/>
        <w:ind w:firstLine="0" w:firstLineChars="0"/>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b/>
          <w:bCs/>
          <w:sz w:val="24"/>
        </w:rPr>
        <w:br w:type="page"/>
      </w:r>
    </w:p>
    <w:p>
      <w:pPr>
        <w:numPr>
          <w:ilvl w:val="0"/>
          <w:numId w:val="1"/>
        </w:num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联系方式</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5.1采购联系人：陈老师028-81020254</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5.2技术联系人：王老师028-81020070</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5.3纪检联系人：孙老师028-81020036</w:t>
      </w:r>
    </w:p>
    <w:p>
      <w:pPr>
        <w:widowControl/>
        <w:jc w:val="left"/>
        <w:rPr>
          <w:rFonts w:asciiTheme="minorEastAsia" w:hAnsiTheme="minorEastAsia" w:cstheme="minorEastAsia"/>
          <w:color w:val="000000" w:themeColor="text1"/>
          <w:sz w:val="28"/>
          <w:szCs w:val="28"/>
          <w14:textFill>
            <w14:solidFill>
              <w14:schemeClr w14:val="tx1"/>
            </w14:solidFill>
          </w14:textFill>
        </w:rPr>
      </w:pPr>
      <w:r>
        <w:rPr>
          <w:rFonts w:asciiTheme="minorEastAsia" w:hAnsiTheme="minorEastAsia" w:cstheme="minorEastAsia"/>
          <w:b/>
          <w:bCs/>
          <w:color w:val="000000" w:themeColor="text1"/>
          <w:sz w:val="28"/>
          <w:szCs w:val="28"/>
          <w14:textFill>
            <w14:solidFill>
              <w14:schemeClr w14:val="tx1"/>
            </w14:solidFill>
          </w14:textFill>
        </w:rPr>
        <w:br w:type="page"/>
      </w:r>
    </w:p>
    <w:p>
      <w:pPr>
        <w:pStyle w:val="16"/>
        <w:widowControl w:val="0"/>
        <w:pBdr>
          <w:bottom w:val="none" w:color="auto" w:sz="0" w:space="0"/>
        </w:pBdr>
        <w:snapToGrid w:val="0"/>
        <w:spacing w:before="0" w:beforeAutospacing="0" w:after="0" w:afterAutospacing="0" w:line="540" w:lineRule="exact"/>
        <w:jc w:val="left"/>
        <w:textAlignment w:val="auto"/>
        <w:rPr>
          <w:rFonts w:ascii="仿宋" w:hAnsi="仿宋" w:eastAsia="仿宋" w:cs="仿宋"/>
          <w:color w:val="000000" w:themeColor="text1"/>
          <w:kern w:val="2"/>
          <w14:textFill>
            <w14:solidFill>
              <w14:schemeClr w14:val="tx1"/>
            </w14:solidFill>
          </w14:textFill>
        </w:rPr>
      </w:pPr>
      <w:r>
        <w:rPr>
          <w:rFonts w:hint="eastAsia" w:ascii="仿宋" w:hAnsi="仿宋" w:eastAsia="仿宋" w:cs="仿宋"/>
          <w:color w:val="000000" w:themeColor="text1"/>
          <w:kern w:val="2"/>
          <w14:textFill>
            <w14:solidFill>
              <w14:schemeClr w14:val="tx1"/>
            </w14:solidFill>
          </w14:textFill>
        </w:rPr>
        <w:t>附件1</w:t>
      </w:r>
    </w:p>
    <w:p>
      <w:pPr>
        <w:spacing w:line="360" w:lineRule="exact"/>
        <w:jc w:val="center"/>
        <w:rPr>
          <w:rFonts w:ascii="黑体" w:hAnsi="黑体" w:eastAsia="黑体" w:cs="黑体"/>
          <w:b/>
          <w:color w:val="000000" w:themeColor="text1"/>
          <w:sz w:val="28"/>
          <w:szCs w:val="28"/>
          <w14:textFill>
            <w14:solidFill>
              <w14:schemeClr w14:val="tx1"/>
            </w14:solidFill>
          </w14:textFill>
        </w:rPr>
      </w:pPr>
    </w:p>
    <w:p>
      <w:pPr>
        <w:spacing w:line="360" w:lineRule="exact"/>
        <w:jc w:val="center"/>
        <w:rPr>
          <w:rFonts w:ascii="黑体" w:hAnsi="黑体" w:eastAsia="黑体" w:cs="黑体"/>
          <w:b/>
          <w:color w:val="000000" w:themeColor="text1"/>
          <w:sz w:val="36"/>
          <w:szCs w:val="36"/>
          <w14:textFill>
            <w14:solidFill>
              <w14:schemeClr w14:val="tx1"/>
            </w14:solidFill>
          </w14:textFill>
        </w:rPr>
      </w:pPr>
      <w:r>
        <w:rPr>
          <w:rFonts w:hint="eastAsia" w:ascii="黑体" w:hAnsi="黑体" w:eastAsia="黑体" w:cs="黑体"/>
          <w:b/>
          <w:color w:val="000000" w:themeColor="text1"/>
          <w:sz w:val="36"/>
          <w:szCs w:val="36"/>
          <w14:textFill>
            <w14:solidFill>
              <w14:schemeClr w14:val="tx1"/>
            </w14:solidFill>
          </w14:textFill>
        </w:rPr>
        <w:t>报 价 单</w:t>
      </w:r>
    </w:p>
    <w:p>
      <w:pPr>
        <w:pStyle w:val="2"/>
      </w:pPr>
    </w:p>
    <w:p>
      <w:pPr>
        <w:spacing w:line="540" w:lineRule="exact"/>
        <w:ind w:firstLine="66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我单位作为参选人</w:t>
      </w:r>
      <w:r>
        <w:rPr>
          <w:rFonts w:ascii="仿宋_GB2312" w:hAnsi="仿宋_GB2312" w:eastAsia="仿宋_GB2312" w:cs="仿宋_GB2312"/>
          <w:color w:val="000000" w:themeColor="text1"/>
          <w:sz w:val="28"/>
          <w:szCs w:val="28"/>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对此次招标活动中我方所承诺的条款已经完全明确</w:t>
      </w:r>
      <w:r>
        <w:rPr>
          <w:rFonts w:ascii="仿宋_GB2312" w:hAnsi="仿宋_GB2312" w:eastAsia="仿宋_GB2312" w:cs="仿宋_GB2312"/>
          <w:color w:val="000000" w:themeColor="text1"/>
          <w:sz w:val="28"/>
          <w:szCs w:val="28"/>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也深知所承诺的事项和作出的报价可能给我方带来的风险和后果。如果我方在招标活动中有弄虚作假等违法违规行为，以及中选后因报价低或不执行承诺条款而不履约</w:t>
      </w:r>
      <w:r>
        <w:rPr>
          <w:rFonts w:ascii="仿宋_GB2312" w:hAnsi="仿宋_GB2312" w:eastAsia="仿宋_GB2312" w:cs="仿宋_GB2312"/>
          <w:color w:val="000000" w:themeColor="text1"/>
          <w:sz w:val="28"/>
          <w:szCs w:val="28"/>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本单位愿承担一切责任（包括赔偿损失、取消招标及中选资格等），我单位报价为：</w:t>
      </w:r>
    </w:p>
    <w:p>
      <w:pPr>
        <w:pStyle w:val="2"/>
        <w:rPr>
          <w:sz w:val="22"/>
          <w:szCs w:val="28"/>
        </w:rPr>
      </w:pPr>
    </w:p>
    <w:p>
      <w:pPr>
        <w:pStyle w:val="2"/>
        <w:rPr>
          <w:rFonts w:eastAsia="仿宋_GB2312"/>
        </w:rPr>
      </w:pPr>
      <w:r>
        <w:rPr>
          <w:rFonts w:hint="eastAsia" w:ascii="仿宋_GB2312" w:hAnsi="仿宋_GB2312" w:eastAsia="仿宋_GB2312" w:cs="仿宋_GB2312"/>
          <w:color w:val="000000" w:themeColor="text1"/>
          <w:sz w:val="28"/>
          <w:szCs w:val="28"/>
          <w14:textFill>
            <w14:solidFill>
              <w14:schemeClr w14:val="tx1"/>
            </w14:solidFill>
          </w14:textFill>
        </w:rPr>
        <w:t>1、信息设备维护相关服务：</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6"/>
        <w:gridCol w:w="1237"/>
        <w:gridCol w:w="1761"/>
        <w:gridCol w:w="1761"/>
        <w:gridCol w:w="1241"/>
        <w:gridCol w:w="14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620"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b/>
                <w:bCs/>
                <w:color w:val="000000" w:themeColor="text1"/>
                <w:sz w:val="24"/>
                <w14:textFill>
                  <w14:solidFill>
                    <w14:schemeClr w14:val="tx1"/>
                  </w14:solidFill>
                </w14:textFill>
              </w:rPr>
            </w:pPr>
            <w:r>
              <w:rPr>
                <w:rFonts w:hint="eastAsia" w:ascii="仿宋_GB2312" w:hAnsi="仿宋_GB2312" w:eastAsia="仿宋_GB2312" w:cs="仿宋_GB2312"/>
                <w:b/>
                <w:bCs/>
                <w:color w:val="000000" w:themeColor="text1"/>
                <w:sz w:val="24"/>
                <w14:textFill>
                  <w14:solidFill>
                    <w14:schemeClr w14:val="tx1"/>
                  </w14:solidFill>
                </w14:textFill>
              </w:rPr>
              <w:t>序号</w:t>
            </w:r>
          </w:p>
        </w:tc>
        <w:tc>
          <w:tcPr>
            <w:tcW w:w="72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b/>
                <w:bCs/>
                <w:color w:val="000000" w:themeColor="text1"/>
                <w:sz w:val="24"/>
                <w14:textFill>
                  <w14:solidFill>
                    <w14:schemeClr w14:val="tx1"/>
                  </w14:solidFill>
                </w14:textFill>
              </w:rPr>
            </w:pPr>
            <w:r>
              <w:rPr>
                <w:rFonts w:hint="eastAsia" w:ascii="仿宋_GB2312" w:hAnsi="仿宋_GB2312" w:eastAsia="仿宋_GB2312" w:cs="仿宋_GB2312"/>
                <w:b/>
                <w:bCs/>
                <w:color w:val="000000" w:themeColor="text1"/>
                <w:sz w:val="24"/>
                <w14:textFill>
                  <w14:solidFill>
                    <w14:schemeClr w14:val="tx1"/>
                  </w14:solidFill>
                </w14:textFill>
              </w:rPr>
              <w:t>报价内容</w:t>
            </w:r>
          </w:p>
        </w:tc>
        <w:tc>
          <w:tcPr>
            <w:tcW w:w="103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b/>
                <w:bCs/>
                <w:color w:val="000000" w:themeColor="text1"/>
                <w:sz w:val="24"/>
                <w14:textFill>
                  <w14:solidFill>
                    <w14:schemeClr w14:val="tx1"/>
                  </w14:solidFill>
                </w14:textFill>
              </w:rPr>
            </w:pPr>
            <w:r>
              <w:rPr>
                <w:rFonts w:hint="eastAsia" w:ascii="仿宋_GB2312" w:hAnsi="仿宋_GB2312" w:eastAsia="仿宋_GB2312" w:cs="仿宋_GB2312"/>
                <w:b/>
                <w:bCs/>
                <w:color w:val="000000" w:themeColor="text1"/>
                <w:sz w:val="24"/>
                <w14:textFill>
                  <w14:solidFill>
                    <w14:schemeClr w14:val="tx1"/>
                  </w14:solidFill>
                </w14:textFill>
              </w:rPr>
              <w:t>规格</w:t>
            </w:r>
          </w:p>
        </w:tc>
        <w:tc>
          <w:tcPr>
            <w:tcW w:w="103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b/>
                <w:bCs/>
                <w:color w:val="000000" w:themeColor="text1"/>
                <w:sz w:val="24"/>
                <w14:textFill>
                  <w14:solidFill>
                    <w14:schemeClr w14:val="tx1"/>
                  </w14:solidFill>
                </w14:textFill>
              </w:rPr>
            </w:pPr>
            <w:r>
              <w:rPr>
                <w:rFonts w:hint="eastAsia" w:ascii="仿宋_GB2312" w:hAnsi="仿宋_GB2312" w:eastAsia="仿宋_GB2312" w:cs="仿宋_GB2312"/>
                <w:b/>
                <w:bCs/>
                <w:color w:val="000000" w:themeColor="text1"/>
                <w:sz w:val="24"/>
                <w14:textFill>
                  <w14:solidFill>
                    <w14:schemeClr w14:val="tx1"/>
                  </w14:solidFill>
                </w14:textFill>
              </w:rPr>
              <w:t>数量</w:t>
            </w:r>
          </w:p>
        </w:tc>
        <w:tc>
          <w:tcPr>
            <w:tcW w:w="72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b/>
                <w:bCs/>
                <w:color w:val="000000" w:themeColor="text1"/>
                <w:sz w:val="24"/>
                <w14:textFill>
                  <w14:solidFill>
                    <w14:schemeClr w14:val="tx1"/>
                  </w14:solidFill>
                </w14:textFill>
              </w:rPr>
            </w:pPr>
            <w:r>
              <w:rPr>
                <w:rFonts w:hint="eastAsia" w:ascii="仿宋_GB2312" w:hAnsi="仿宋_GB2312" w:eastAsia="仿宋_GB2312" w:cs="仿宋_GB2312"/>
                <w:b/>
                <w:bCs/>
                <w:color w:val="000000" w:themeColor="text1"/>
                <w:sz w:val="24"/>
                <w14:textFill>
                  <w14:solidFill>
                    <w14:schemeClr w14:val="tx1"/>
                  </w14:solidFill>
                </w14:textFill>
              </w:rPr>
              <w:t>单价（元）</w:t>
            </w:r>
          </w:p>
        </w:tc>
        <w:tc>
          <w:tcPr>
            <w:tcW w:w="860" w:type="pct"/>
            <w:tcBorders>
              <w:top w:val="single" w:color="auto" w:sz="4" w:space="0"/>
              <w:left w:val="single" w:color="auto" w:sz="4" w:space="0"/>
              <w:bottom w:val="single" w:color="auto" w:sz="4" w:space="0"/>
              <w:right w:val="single" w:color="auto" w:sz="4" w:space="0"/>
            </w:tcBorders>
            <w:vAlign w:val="center"/>
          </w:tcPr>
          <w:p>
            <w:pPr>
              <w:spacing w:line="360" w:lineRule="auto"/>
              <w:ind w:left="357" w:hanging="357" w:hangingChars="148"/>
              <w:jc w:val="center"/>
              <w:rPr>
                <w:rFonts w:ascii="仿宋_GB2312" w:hAnsi="仿宋_GB2312" w:eastAsia="仿宋_GB2312" w:cs="仿宋_GB2312"/>
                <w:b/>
                <w:bCs/>
                <w:color w:val="000000" w:themeColor="text1"/>
                <w:sz w:val="24"/>
                <w14:textFill>
                  <w14:solidFill>
                    <w14:schemeClr w14:val="tx1"/>
                  </w14:solidFill>
                </w14:textFill>
              </w:rPr>
            </w:pPr>
            <w:r>
              <w:rPr>
                <w:rFonts w:hint="eastAsia" w:ascii="仿宋_GB2312" w:hAnsi="仿宋_GB2312" w:eastAsia="仿宋_GB2312" w:cs="仿宋_GB2312"/>
                <w:b/>
                <w:bCs/>
                <w:color w:val="000000" w:themeColor="text1"/>
                <w:sz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620"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1</w:t>
            </w:r>
          </w:p>
        </w:tc>
        <w:tc>
          <w:tcPr>
            <w:tcW w:w="726"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_GB2312" w:eastAsia="仿宋_GB2312" w:cs="仿宋_GB2312"/>
                <w:color w:val="000000" w:themeColor="text1"/>
                <w:sz w:val="24"/>
                <w14:textFill>
                  <w14:solidFill>
                    <w14:schemeClr w14:val="tx1"/>
                  </w14:solidFill>
                </w14:textFill>
              </w:rPr>
            </w:pPr>
          </w:p>
        </w:tc>
        <w:tc>
          <w:tcPr>
            <w:tcW w:w="1033"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_GB2312" w:eastAsia="仿宋_GB2312" w:cs="仿宋_GB2312"/>
                <w:color w:val="000000" w:themeColor="text1"/>
                <w:sz w:val="24"/>
                <w14:textFill>
                  <w14:solidFill>
                    <w14:schemeClr w14:val="tx1"/>
                  </w14:solidFill>
                </w14:textFill>
              </w:rPr>
            </w:pPr>
          </w:p>
        </w:tc>
        <w:tc>
          <w:tcPr>
            <w:tcW w:w="1033"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_GB2312" w:eastAsia="仿宋_GB2312" w:cs="仿宋_GB2312"/>
                <w:color w:val="000000" w:themeColor="text1"/>
                <w:sz w:val="24"/>
                <w14:textFill>
                  <w14:solidFill>
                    <w14:schemeClr w14:val="tx1"/>
                  </w14:solidFill>
                </w14:textFill>
              </w:rPr>
            </w:pPr>
          </w:p>
        </w:tc>
        <w:tc>
          <w:tcPr>
            <w:tcW w:w="728"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_GB2312" w:eastAsia="仿宋_GB2312" w:cs="仿宋_GB2312"/>
                <w:color w:val="000000" w:themeColor="text1"/>
                <w:sz w:val="24"/>
                <w14:textFill>
                  <w14:solidFill>
                    <w14:schemeClr w14:val="tx1"/>
                  </w14:solidFill>
                </w14:textFill>
              </w:rPr>
            </w:pPr>
          </w:p>
        </w:tc>
        <w:tc>
          <w:tcPr>
            <w:tcW w:w="860"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_GB2312" w:eastAsia="仿宋_GB2312" w:cs="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620"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2</w:t>
            </w:r>
          </w:p>
        </w:tc>
        <w:tc>
          <w:tcPr>
            <w:tcW w:w="726"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w:t>
            </w:r>
          </w:p>
        </w:tc>
        <w:tc>
          <w:tcPr>
            <w:tcW w:w="1033"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_GB2312" w:eastAsia="仿宋_GB2312" w:cs="仿宋_GB2312"/>
                <w:color w:val="000000" w:themeColor="text1"/>
                <w:sz w:val="24"/>
                <w14:textFill>
                  <w14:solidFill>
                    <w14:schemeClr w14:val="tx1"/>
                  </w14:solidFill>
                </w14:textFill>
              </w:rPr>
            </w:pPr>
          </w:p>
        </w:tc>
        <w:tc>
          <w:tcPr>
            <w:tcW w:w="1033"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_GB2312" w:eastAsia="仿宋_GB2312" w:cs="仿宋_GB2312"/>
                <w:color w:val="000000" w:themeColor="text1"/>
                <w:sz w:val="24"/>
                <w14:textFill>
                  <w14:solidFill>
                    <w14:schemeClr w14:val="tx1"/>
                  </w14:solidFill>
                </w14:textFill>
              </w:rPr>
            </w:pPr>
          </w:p>
        </w:tc>
        <w:tc>
          <w:tcPr>
            <w:tcW w:w="728"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_GB2312" w:eastAsia="仿宋_GB2312" w:cs="仿宋_GB2312"/>
                <w:color w:val="000000" w:themeColor="text1"/>
                <w:sz w:val="24"/>
                <w14:textFill>
                  <w14:solidFill>
                    <w14:schemeClr w14:val="tx1"/>
                  </w14:solidFill>
                </w14:textFill>
              </w:rPr>
            </w:pPr>
          </w:p>
        </w:tc>
        <w:tc>
          <w:tcPr>
            <w:tcW w:w="860"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_GB2312" w:eastAsia="仿宋_GB2312" w:cs="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11" w:hRule="atLeast"/>
        </w:trPr>
        <w:tc>
          <w:tcPr>
            <w:tcW w:w="5000" w:type="pct"/>
            <w:gridSpan w:val="6"/>
            <w:tcBorders>
              <w:top w:val="single" w:color="auto" w:sz="4" w:space="0"/>
              <w:left w:val="single" w:color="auto" w:sz="4" w:space="0"/>
              <w:bottom w:val="single" w:color="auto" w:sz="4" w:space="0"/>
              <w:right w:val="single" w:color="auto" w:sz="4" w:space="0"/>
            </w:tcBorders>
          </w:tcPr>
          <w:p>
            <w:pPr>
              <w:spacing w:line="360" w:lineRule="auto"/>
              <w:ind w:left="355" w:hanging="355" w:hangingChars="148"/>
              <w:jc w:val="center"/>
            </w:pPr>
            <w:r>
              <w:rPr>
                <w:rFonts w:hint="eastAsia" w:ascii="仿宋_GB2312" w:hAnsi="仿宋_GB2312" w:eastAsia="仿宋_GB2312" w:cs="仿宋_GB2312"/>
                <w:color w:val="000000" w:themeColor="text1"/>
                <w:sz w:val="24"/>
                <w14:textFill>
                  <w14:solidFill>
                    <w14:schemeClr w14:val="tx1"/>
                  </w14:solidFill>
                </w14:textFill>
              </w:rPr>
              <w:t>最终报价金额</w:t>
            </w:r>
            <w:r>
              <w:rPr>
                <w:rFonts w:hint="eastAsia" w:ascii="仿宋_GB2312" w:hAnsi="仿宋_GB2312" w:eastAsia="仿宋_GB2312" w:cs="仿宋_GB2312"/>
                <w:b/>
                <w:bCs/>
                <w:color w:val="000000" w:themeColor="text1"/>
                <w:sz w:val="24"/>
                <w14:textFill>
                  <w14:solidFill>
                    <w14:schemeClr w14:val="tx1"/>
                  </w14:solidFill>
                </w14:textFill>
              </w:rPr>
              <w:t>合计（含税）</w:t>
            </w:r>
            <w:r>
              <w:rPr>
                <w:rFonts w:hint="eastAsia" w:ascii="仿宋_GB2312" w:hAnsi="仿宋_GB2312" w:eastAsia="仿宋_GB2312" w:cs="仿宋_GB2312"/>
                <w:color w:val="000000" w:themeColor="text1"/>
                <w:sz w:val="24"/>
                <w14:textFill>
                  <w14:solidFill>
                    <w14:schemeClr w14:val="tx1"/>
                  </w14:solidFill>
                </w14:textFill>
              </w:rPr>
              <w:t>：</w:t>
            </w:r>
            <w:r>
              <w:rPr>
                <w:rFonts w:hint="eastAsia" w:ascii="仿宋_GB2312" w:hAnsi="仿宋_GB2312" w:eastAsia="仿宋_GB2312" w:cs="仿宋_GB2312"/>
                <w:color w:val="000000" w:themeColor="text1"/>
                <w:sz w:val="24"/>
                <w:u w:val="single"/>
                <w14:textFill>
                  <w14:solidFill>
                    <w14:schemeClr w14:val="tx1"/>
                  </w14:solidFill>
                </w14:textFill>
              </w:rPr>
              <w:t xml:space="preserve">                      元</w:t>
            </w:r>
          </w:p>
          <w:p>
            <w:pPr>
              <w:spacing w:line="360" w:lineRule="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（大写：</w:t>
            </w:r>
            <w:r>
              <w:rPr>
                <w:rFonts w:hint="eastAsia" w:ascii="仿宋_GB2312" w:hAnsi="仿宋_GB2312" w:eastAsia="仿宋_GB2312" w:cs="仿宋_GB2312"/>
                <w:color w:val="000000" w:themeColor="text1"/>
                <w:sz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仟</w:t>
            </w:r>
            <w:r>
              <w:rPr>
                <w:rFonts w:hint="eastAsia" w:ascii="仿宋_GB2312" w:hAnsi="仿宋_GB2312" w:eastAsia="仿宋_GB2312" w:cs="仿宋_GB2312"/>
                <w:color w:val="000000" w:themeColor="text1"/>
                <w:sz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佰</w:t>
            </w:r>
            <w:r>
              <w:rPr>
                <w:rFonts w:hint="eastAsia" w:ascii="仿宋_GB2312" w:hAnsi="仿宋_GB2312" w:eastAsia="仿宋_GB2312" w:cs="仿宋_GB2312"/>
                <w:color w:val="000000" w:themeColor="text1"/>
                <w:sz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拾</w:t>
            </w:r>
            <w:r>
              <w:rPr>
                <w:rFonts w:hint="eastAsia" w:ascii="仿宋_GB2312" w:hAnsi="仿宋_GB2312" w:eastAsia="仿宋_GB2312" w:cs="仿宋_GB2312"/>
                <w:color w:val="000000" w:themeColor="text1"/>
                <w:sz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万</w:t>
            </w:r>
            <w:r>
              <w:rPr>
                <w:rFonts w:hint="eastAsia" w:ascii="仿宋_GB2312" w:hAnsi="仿宋_GB2312" w:eastAsia="仿宋_GB2312" w:cs="仿宋_GB2312"/>
                <w:color w:val="000000" w:themeColor="text1"/>
                <w:sz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仟</w:t>
            </w:r>
            <w:r>
              <w:rPr>
                <w:rFonts w:hint="eastAsia" w:ascii="仿宋_GB2312" w:hAnsi="仿宋_GB2312" w:eastAsia="仿宋_GB2312" w:cs="仿宋_GB2312"/>
                <w:color w:val="000000" w:themeColor="text1"/>
                <w:sz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佰</w:t>
            </w:r>
            <w:r>
              <w:rPr>
                <w:rFonts w:hint="eastAsia" w:ascii="仿宋_GB2312" w:hAnsi="仿宋_GB2312" w:eastAsia="仿宋_GB2312" w:cs="仿宋_GB2312"/>
                <w:color w:val="000000" w:themeColor="text1"/>
                <w:sz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拾</w:t>
            </w:r>
            <w:r>
              <w:rPr>
                <w:rFonts w:hint="eastAsia" w:ascii="仿宋_GB2312" w:hAnsi="仿宋_GB2312" w:eastAsia="仿宋_GB2312" w:cs="仿宋_GB2312"/>
                <w:color w:val="000000" w:themeColor="text1"/>
                <w:sz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元</w:t>
            </w:r>
            <w:r>
              <w:rPr>
                <w:rFonts w:hint="eastAsia" w:ascii="仿宋_GB2312" w:hAnsi="仿宋_GB2312" w:eastAsia="仿宋_GB2312" w:cs="仿宋_GB2312"/>
                <w:color w:val="000000" w:themeColor="text1"/>
                <w:sz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角</w:t>
            </w:r>
            <w:r>
              <w:rPr>
                <w:rFonts w:hint="eastAsia" w:ascii="仿宋_GB2312" w:hAnsi="仿宋_GB2312" w:eastAsia="仿宋_GB2312" w:cs="仿宋_GB2312"/>
                <w:color w:val="000000" w:themeColor="text1"/>
                <w:sz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分 ）</w:t>
            </w:r>
          </w:p>
        </w:tc>
      </w:tr>
    </w:tbl>
    <w:p>
      <w:pP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br w:type="page"/>
      </w:r>
    </w:p>
    <w:p>
      <w:pPr>
        <w:spacing w:line="540" w:lineRule="exact"/>
        <w:ind w:firstLine="66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2、信息配件和网络布点辅助材料：</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4"/>
        <w:gridCol w:w="3630"/>
        <w:gridCol w:w="1050"/>
        <w:gridCol w:w="1695"/>
        <w:gridCol w:w="1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744" w:type="dxa"/>
            <w:vAlign w:val="center"/>
          </w:tcPr>
          <w:p>
            <w:pPr>
              <w:spacing w:line="360" w:lineRule="auto"/>
              <w:jc w:val="center"/>
              <w:rPr>
                <w:rFonts w:ascii="仿宋_GB2312" w:hAnsi="仿宋_GB2312" w:eastAsia="仿宋_GB2312" w:cs="仿宋_GB2312"/>
                <w:b/>
                <w:bCs/>
                <w:color w:val="000000" w:themeColor="text1"/>
                <w:sz w:val="24"/>
                <w14:textFill>
                  <w14:solidFill>
                    <w14:schemeClr w14:val="tx1"/>
                  </w14:solidFill>
                </w14:textFill>
              </w:rPr>
            </w:pPr>
            <w:r>
              <w:rPr>
                <w:rFonts w:hint="eastAsia" w:ascii="仿宋_GB2312" w:hAnsi="仿宋_GB2312" w:eastAsia="仿宋_GB2312" w:cs="仿宋_GB2312"/>
                <w:b/>
                <w:bCs/>
                <w:color w:val="000000" w:themeColor="text1"/>
                <w:sz w:val="24"/>
                <w14:textFill>
                  <w14:solidFill>
                    <w14:schemeClr w14:val="tx1"/>
                  </w14:solidFill>
                </w14:textFill>
              </w:rPr>
              <w:t>序号</w:t>
            </w:r>
          </w:p>
        </w:tc>
        <w:tc>
          <w:tcPr>
            <w:tcW w:w="3630" w:type="dxa"/>
            <w:vAlign w:val="center"/>
          </w:tcPr>
          <w:p>
            <w:pPr>
              <w:spacing w:line="360" w:lineRule="auto"/>
              <w:jc w:val="center"/>
              <w:rPr>
                <w:rFonts w:ascii="仿宋_GB2312" w:hAnsi="仿宋_GB2312" w:eastAsia="仿宋_GB2312" w:cs="仿宋_GB2312"/>
                <w:b/>
                <w:bCs/>
                <w:color w:val="000000" w:themeColor="text1"/>
                <w:sz w:val="24"/>
                <w14:textFill>
                  <w14:solidFill>
                    <w14:schemeClr w14:val="tx1"/>
                  </w14:solidFill>
                </w14:textFill>
              </w:rPr>
            </w:pPr>
            <w:r>
              <w:rPr>
                <w:rFonts w:hint="eastAsia" w:ascii="仿宋_GB2312" w:hAnsi="仿宋_GB2312" w:eastAsia="仿宋_GB2312" w:cs="仿宋_GB2312"/>
                <w:b/>
                <w:bCs/>
                <w:color w:val="000000" w:themeColor="text1"/>
                <w:sz w:val="24"/>
                <w14:textFill>
                  <w14:solidFill>
                    <w14:schemeClr w14:val="tx1"/>
                  </w14:solidFill>
                </w14:textFill>
              </w:rPr>
              <w:t>物资及要求</w:t>
            </w:r>
          </w:p>
        </w:tc>
        <w:tc>
          <w:tcPr>
            <w:tcW w:w="1050" w:type="dxa"/>
            <w:vAlign w:val="center"/>
          </w:tcPr>
          <w:p>
            <w:pPr>
              <w:spacing w:line="360" w:lineRule="auto"/>
              <w:jc w:val="center"/>
              <w:rPr>
                <w:rFonts w:ascii="仿宋_GB2312" w:hAnsi="仿宋_GB2312" w:eastAsia="仿宋_GB2312" w:cs="仿宋_GB2312"/>
                <w:b/>
                <w:bCs/>
                <w:color w:val="000000" w:themeColor="text1"/>
                <w:sz w:val="24"/>
                <w14:textFill>
                  <w14:solidFill>
                    <w14:schemeClr w14:val="tx1"/>
                  </w14:solidFill>
                </w14:textFill>
              </w:rPr>
            </w:pPr>
            <w:r>
              <w:rPr>
                <w:rFonts w:hint="eastAsia" w:ascii="仿宋_GB2312" w:hAnsi="仿宋_GB2312" w:eastAsia="仿宋_GB2312" w:cs="仿宋_GB2312"/>
                <w:b/>
                <w:bCs/>
                <w:color w:val="000000" w:themeColor="text1"/>
                <w:sz w:val="24"/>
                <w14:textFill>
                  <w14:solidFill>
                    <w14:schemeClr w14:val="tx1"/>
                  </w14:solidFill>
                </w14:textFill>
              </w:rPr>
              <w:t>单位</w:t>
            </w:r>
          </w:p>
        </w:tc>
        <w:tc>
          <w:tcPr>
            <w:tcW w:w="1695" w:type="dxa"/>
            <w:vAlign w:val="center"/>
          </w:tcPr>
          <w:p>
            <w:pPr>
              <w:spacing w:line="360" w:lineRule="auto"/>
              <w:jc w:val="center"/>
              <w:rPr>
                <w:rFonts w:ascii="仿宋_GB2312" w:hAnsi="仿宋_GB2312" w:eastAsia="仿宋_GB2312" w:cs="仿宋_GB2312"/>
                <w:b/>
                <w:bCs/>
                <w:color w:val="000000" w:themeColor="text1"/>
                <w:sz w:val="24"/>
                <w14:textFill>
                  <w14:solidFill>
                    <w14:schemeClr w14:val="tx1"/>
                  </w14:solidFill>
                </w14:textFill>
              </w:rPr>
            </w:pPr>
            <w:r>
              <w:rPr>
                <w:rFonts w:hint="eastAsia" w:ascii="仿宋_GB2312" w:hAnsi="仿宋_GB2312" w:eastAsia="仿宋_GB2312" w:cs="仿宋_GB2312"/>
                <w:b/>
                <w:bCs/>
                <w:color w:val="000000" w:themeColor="text1"/>
                <w:sz w:val="24"/>
                <w14:textFill>
                  <w14:solidFill>
                    <w14:schemeClr w14:val="tx1"/>
                  </w14:solidFill>
                </w14:textFill>
              </w:rPr>
              <w:t>市场参考价格</w:t>
            </w:r>
          </w:p>
        </w:tc>
        <w:tc>
          <w:tcPr>
            <w:tcW w:w="1403" w:type="dxa"/>
            <w:vAlign w:val="center"/>
          </w:tcPr>
          <w:p>
            <w:pPr>
              <w:spacing w:line="360" w:lineRule="auto"/>
              <w:jc w:val="center"/>
              <w:rPr>
                <w:rFonts w:ascii="仿宋_GB2312" w:hAnsi="仿宋_GB2312" w:eastAsia="仿宋_GB2312" w:cs="仿宋_GB2312"/>
                <w:b/>
                <w:bCs/>
                <w:color w:val="000000" w:themeColor="text1"/>
                <w:sz w:val="24"/>
                <w14:textFill>
                  <w14:solidFill>
                    <w14:schemeClr w14:val="tx1"/>
                  </w14:solidFill>
                </w14:textFill>
              </w:rPr>
            </w:pPr>
            <w:r>
              <w:rPr>
                <w:rFonts w:hint="eastAsia" w:ascii="仿宋_GB2312" w:hAnsi="仿宋_GB2312" w:eastAsia="仿宋_GB2312" w:cs="仿宋_GB2312"/>
                <w:b/>
                <w:bCs/>
                <w:color w:val="000000" w:themeColor="text1"/>
                <w:sz w:val="24"/>
                <w14:textFill>
                  <w14:solidFill>
                    <w14:schemeClr w14:val="tx1"/>
                  </w14:solidFill>
                </w14:textFill>
              </w:rPr>
              <w:t>投标折扣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744" w:type="dxa"/>
          </w:tcPr>
          <w:p>
            <w:pPr>
              <w:spacing w:line="360" w:lineRule="auto"/>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1</w:t>
            </w:r>
          </w:p>
        </w:tc>
        <w:tc>
          <w:tcPr>
            <w:tcW w:w="3630" w:type="dxa"/>
          </w:tcPr>
          <w:p>
            <w:pPr>
              <w:spacing w:line="360" w:lineRule="auto"/>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SSD固态硬盘 (容量大于240GB，金士顿)</w:t>
            </w:r>
          </w:p>
        </w:tc>
        <w:tc>
          <w:tcPr>
            <w:tcW w:w="1050" w:type="dxa"/>
          </w:tcPr>
          <w:p>
            <w:pPr>
              <w:spacing w:line="360" w:lineRule="auto"/>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个</w:t>
            </w:r>
          </w:p>
        </w:tc>
        <w:tc>
          <w:tcPr>
            <w:tcW w:w="1695" w:type="dxa"/>
          </w:tcPr>
          <w:p>
            <w:pPr>
              <w:spacing w:line="360" w:lineRule="auto"/>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240元</w:t>
            </w:r>
          </w:p>
        </w:tc>
        <w:tc>
          <w:tcPr>
            <w:tcW w:w="1403" w:type="dxa"/>
            <w:vMerge w:val="restart"/>
          </w:tcPr>
          <w:p>
            <w:pPr>
              <w:spacing w:line="360" w:lineRule="auto"/>
              <w:jc w:val="center"/>
              <w:rPr>
                <w:rFonts w:ascii="仿宋_GB2312" w:hAnsi="仿宋_GB2312" w:eastAsia="仿宋_GB2312" w:cs="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744" w:type="dxa"/>
          </w:tcPr>
          <w:p>
            <w:pPr>
              <w:spacing w:line="360" w:lineRule="auto"/>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2</w:t>
            </w:r>
          </w:p>
        </w:tc>
        <w:tc>
          <w:tcPr>
            <w:tcW w:w="3630" w:type="dxa"/>
          </w:tcPr>
          <w:p>
            <w:pPr>
              <w:spacing w:line="360" w:lineRule="auto"/>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8G内存条（金士顿）</w:t>
            </w:r>
          </w:p>
        </w:tc>
        <w:tc>
          <w:tcPr>
            <w:tcW w:w="1050" w:type="dxa"/>
          </w:tcPr>
          <w:p>
            <w:pPr>
              <w:spacing w:line="360" w:lineRule="auto"/>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个</w:t>
            </w:r>
          </w:p>
        </w:tc>
        <w:tc>
          <w:tcPr>
            <w:tcW w:w="1695" w:type="dxa"/>
          </w:tcPr>
          <w:p>
            <w:pPr>
              <w:spacing w:line="360" w:lineRule="auto"/>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295元</w:t>
            </w:r>
          </w:p>
        </w:tc>
        <w:tc>
          <w:tcPr>
            <w:tcW w:w="1403" w:type="dxa"/>
            <w:vMerge w:val="continue"/>
          </w:tcPr>
          <w:p>
            <w:pPr>
              <w:spacing w:line="360" w:lineRule="auto"/>
              <w:jc w:val="center"/>
              <w:rPr>
                <w:rFonts w:ascii="仿宋_GB2312" w:hAnsi="仿宋_GB2312" w:eastAsia="仿宋_GB2312" w:cs="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tcPr>
          <w:p>
            <w:pPr>
              <w:spacing w:line="360" w:lineRule="auto"/>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5</w:t>
            </w:r>
          </w:p>
        </w:tc>
        <w:tc>
          <w:tcPr>
            <w:tcW w:w="3630" w:type="dxa"/>
          </w:tcPr>
          <w:p>
            <w:pPr>
              <w:spacing w:line="360" w:lineRule="auto"/>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佳能G1810 打印头（彩色加黑色）</w:t>
            </w:r>
          </w:p>
        </w:tc>
        <w:tc>
          <w:tcPr>
            <w:tcW w:w="1050" w:type="dxa"/>
          </w:tcPr>
          <w:p>
            <w:pPr>
              <w:spacing w:line="360" w:lineRule="auto"/>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套</w:t>
            </w:r>
          </w:p>
        </w:tc>
        <w:tc>
          <w:tcPr>
            <w:tcW w:w="1695" w:type="dxa"/>
          </w:tcPr>
          <w:p>
            <w:pPr>
              <w:spacing w:line="360" w:lineRule="auto"/>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720元</w:t>
            </w:r>
          </w:p>
        </w:tc>
        <w:tc>
          <w:tcPr>
            <w:tcW w:w="1403" w:type="dxa"/>
            <w:vMerge w:val="continue"/>
          </w:tcPr>
          <w:p>
            <w:pPr>
              <w:spacing w:line="360" w:lineRule="auto"/>
              <w:jc w:val="center"/>
              <w:rPr>
                <w:rFonts w:ascii="仿宋_GB2312" w:hAnsi="仿宋_GB2312" w:eastAsia="仿宋_GB2312" w:cs="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tcPr>
          <w:p>
            <w:pPr>
              <w:spacing w:line="360" w:lineRule="auto"/>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6</w:t>
            </w:r>
          </w:p>
        </w:tc>
        <w:tc>
          <w:tcPr>
            <w:tcW w:w="3630" w:type="dxa"/>
          </w:tcPr>
          <w:p>
            <w:pPr>
              <w:spacing w:line="360" w:lineRule="auto"/>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惠普180n 定影组件</w:t>
            </w:r>
          </w:p>
        </w:tc>
        <w:tc>
          <w:tcPr>
            <w:tcW w:w="1050" w:type="dxa"/>
          </w:tcPr>
          <w:p>
            <w:pPr>
              <w:spacing w:line="360" w:lineRule="auto"/>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个</w:t>
            </w:r>
          </w:p>
        </w:tc>
        <w:tc>
          <w:tcPr>
            <w:tcW w:w="1695" w:type="dxa"/>
          </w:tcPr>
          <w:p>
            <w:pPr>
              <w:spacing w:line="360" w:lineRule="auto"/>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480元</w:t>
            </w:r>
          </w:p>
        </w:tc>
        <w:tc>
          <w:tcPr>
            <w:tcW w:w="1403" w:type="dxa"/>
            <w:vMerge w:val="continue"/>
          </w:tcPr>
          <w:p>
            <w:pPr>
              <w:spacing w:line="360" w:lineRule="auto"/>
              <w:jc w:val="center"/>
              <w:rPr>
                <w:rFonts w:ascii="仿宋_GB2312" w:hAnsi="仿宋_GB2312" w:eastAsia="仿宋_GB2312" w:cs="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tcPr>
          <w:p>
            <w:pPr>
              <w:spacing w:line="360" w:lineRule="auto"/>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7</w:t>
            </w:r>
          </w:p>
        </w:tc>
        <w:tc>
          <w:tcPr>
            <w:tcW w:w="3630" w:type="dxa"/>
          </w:tcPr>
          <w:p>
            <w:pPr>
              <w:spacing w:line="360" w:lineRule="auto"/>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惠普 288G3 台式计算机电源</w:t>
            </w:r>
          </w:p>
        </w:tc>
        <w:tc>
          <w:tcPr>
            <w:tcW w:w="1050" w:type="dxa"/>
          </w:tcPr>
          <w:p>
            <w:pPr>
              <w:spacing w:line="360" w:lineRule="auto"/>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个</w:t>
            </w:r>
          </w:p>
        </w:tc>
        <w:tc>
          <w:tcPr>
            <w:tcW w:w="1695" w:type="dxa"/>
          </w:tcPr>
          <w:p>
            <w:pPr>
              <w:spacing w:line="360" w:lineRule="auto"/>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400元</w:t>
            </w:r>
          </w:p>
        </w:tc>
        <w:tc>
          <w:tcPr>
            <w:tcW w:w="1403" w:type="dxa"/>
            <w:vMerge w:val="continue"/>
          </w:tcPr>
          <w:p>
            <w:pPr>
              <w:spacing w:line="360" w:lineRule="auto"/>
              <w:jc w:val="center"/>
              <w:rPr>
                <w:rFonts w:ascii="仿宋_GB2312" w:hAnsi="仿宋_GB2312" w:eastAsia="仿宋_GB2312" w:cs="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tcPr>
          <w:p>
            <w:pPr>
              <w:spacing w:line="360" w:lineRule="auto"/>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8</w:t>
            </w:r>
          </w:p>
        </w:tc>
        <w:tc>
          <w:tcPr>
            <w:tcW w:w="3630" w:type="dxa"/>
          </w:tcPr>
          <w:p>
            <w:pPr>
              <w:spacing w:line="360" w:lineRule="auto"/>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POSTEK EM266 （E200） 打印头</w:t>
            </w:r>
          </w:p>
        </w:tc>
        <w:tc>
          <w:tcPr>
            <w:tcW w:w="1050" w:type="dxa"/>
          </w:tcPr>
          <w:p>
            <w:pPr>
              <w:spacing w:line="360" w:lineRule="auto"/>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个</w:t>
            </w:r>
          </w:p>
        </w:tc>
        <w:tc>
          <w:tcPr>
            <w:tcW w:w="1695" w:type="dxa"/>
          </w:tcPr>
          <w:p>
            <w:pPr>
              <w:spacing w:line="360" w:lineRule="auto"/>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620元</w:t>
            </w:r>
          </w:p>
        </w:tc>
        <w:tc>
          <w:tcPr>
            <w:tcW w:w="1403" w:type="dxa"/>
            <w:vMerge w:val="continue"/>
          </w:tcPr>
          <w:p>
            <w:pPr>
              <w:spacing w:line="360" w:lineRule="auto"/>
              <w:jc w:val="center"/>
              <w:rPr>
                <w:rFonts w:ascii="仿宋_GB2312" w:hAnsi="仿宋_GB2312" w:eastAsia="仿宋_GB2312" w:cs="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tcPr>
          <w:p>
            <w:pPr>
              <w:spacing w:line="360" w:lineRule="auto"/>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9</w:t>
            </w:r>
          </w:p>
        </w:tc>
        <w:tc>
          <w:tcPr>
            <w:tcW w:w="3630" w:type="dxa"/>
          </w:tcPr>
          <w:p>
            <w:pPr>
              <w:spacing w:line="360" w:lineRule="auto"/>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礼嘉 打印服务器</w:t>
            </w:r>
          </w:p>
        </w:tc>
        <w:tc>
          <w:tcPr>
            <w:tcW w:w="1050" w:type="dxa"/>
          </w:tcPr>
          <w:p>
            <w:pPr>
              <w:spacing w:line="360" w:lineRule="auto"/>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台</w:t>
            </w:r>
          </w:p>
        </w:tc>
        <w:tc>
          <w:tcPr>
            <w:tcW w:w="1695" w:type="dxa"/>
          </w:tcPr>
          <w:p>
            <w:pPr>
              <w:spacing w:line="360" w:lineRule="auto"/>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290元</w:t>
            </w:r>
          </w:p>
        </w:tc>
        <w:tc>
          <w:tcPr>
            <w:tcW w:w="1403" w:type="dxa"/>
            <w:vMerge w:val="continue"/>
          </w:tcPr>
          <w:p>
            <w:pPr>
              <w:spacing w:line="360" w:lineRule="auto"/>
              <w:jc w:val="center"/>
              <w:rPr>
                <w:rFonts w:ascii="仿宋_GB2312" w:hAnsi="仿宋_GB2312" w:eastAsia="仿宋_GB2312" w:cs="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tcPr>
          <w:p>
            <w:pPr>
              <w:spacing w:line="360" w:lineRule="auto"/>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10</w:t>
            </w:r>
          </w:p>
        </w:tc>
        <w:tc>
          <w:tcPr>
            <w:tcW w:w="3630" w:type="dxa"/>
          </w:tcPr>
          <w:p>
            <w:pPr>
              <w:spacing w:line="360" w:lineRule="auto"/>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光纤收发器（1000M）</w:t>
            </w:r>
          </w:p>
        </w:tc>
        <w:tc>
          <w:tcPr>
            <w:tcW w:w="1050" w:type="dxa"/>
          </w:tcPr>
          <w:p>
            <w:pPr>
              <w:spacing w:line="360" w:lineRule="auto"/>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台</w:t>
            </w:r>
          </w:p>
        </w:tc>
        <w:tc>
          <w:tcPr>
            <w:tcW w:w="1695" w:type="dxa"/>
          </w:tcPr>
          <w:p>
            <w:pPr>
              <w:spacing w:line="360" w:lineRule="auto"/>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85元</w:t>
            </w:r>
          </w:p>
        </w:tc>
        <w:tc>
          <w:tcPr>
            <w:tcW w:w="1403" w:type="dxa"/>
            <w:vMerge w:val="continue"/>
          </w:tcPr>
          <w:p>
            <w:pPr>
              <w:spacing w:line="360" w:lineRule="auto"/>
              <w:jc w:val="center"/>
              <w:rPr>
                <w:rFonts w:ascii="仿宋_GB2312" w:hAnsi="仿宋_GB2312" w:eastAsia="仿宋_GB2312" w:cs="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tcPr>
          <w:p>
            <w:pPr>
              <w:spacing w:line="360" w:lineRule="auto"/>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11</w:t>
            </w:r>
          </w:p>
        </w:tc>
        <w:tc>
          <w:tcPr>
            <w:tcW w:w="3630" w:type="dxa"/>
          </w:tcPr>
          <w:p>
            <w:pPr>
              <w:spacing w:line="360" w:lineRule="auto"/>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HP1106 打印机定影组件</w:t>
            </w:r>
          </w:p>
        </w:tc>
        <w:tc>
          <w:tcPr>
            <w:tcW w:w="1050" w:type="dxa"/>
          </w:tcPr>
          <w:p>
            <w:pPr>
              <w:spacing w:line="360" w:lineRule="auto"/>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套</w:t>
            </w:r>
          </w:p>
        </w:tc>
        <w:tc>
          <w:tcPr>
            <w:tcW w:w="1695" w:type="dxa"/>
          </w:tcPr>
          <w:p>
            <w:pPr>
              <w:spacing w:line="360" w:lineRule="auto"/>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520元</w:t>
            </w:r>
          </w:p>
        </w:tc>
        <w:tc>
          <w:tcPr>
            <w:tcW w:w="1403" w:type="dxa"/>
            <w:vMerge w:val="continue"/>
          </w:tcPr>
          <w:p>
            <w:pPr>
              <w:spacing w:line="360" w:lineRule="auto"/>
              <w:jc w:val="center"/>
              <w:rPr>
                <w:rFonts w:ascii="仿宋_GB2312" w:hAnsi="仿宋_GB2312" w:eastAsia="仿宋_GB2312" w:cs="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tcPr>
          <w:p>
            <w:pPr>
              <w:spacing w:line="360" w:lineRule="auto"/>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12</w:t>
            </w:r>
          </w:p>
        </w:tc>
        <w:tc>
          <w:tcPr>
            <w:tcW w:w="3630" w:type="dxa"/>
          </w:tcPr>
          <w:p>
            <w:pPr>
              <w:spacing w:line="360" w:lineRule="auto"/>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六类网线配塑料线管（直径25毫米）</w:t>
            </w:r>
          </w:p>
        </w:tc>
        <w:tc>
          <w:tcPr>
            <w:tcW w:w="1050" w:type="dxa"/>
          </w:tcPr>
          <w:p>
            <w:pPr>
              <w:spacing w:line="360" w:lineRule="auto"/>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米</w:t>
            </w:r>
          </w:p>
        </w:tc>
        <w:tc>
          <w:tcPr>
            <w:tcW w:w="1695" w:type="dxa"/>
          </w:tcPr>
          <w:p>
            <w:pPr>
              <w:spacing w:line="360" w:lineRule="auto"/>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8元</w:t>
            </w:r>
          </w:p>
        </w:tc>
        <w:tc>
          <w:tcPr>
            <w:tcW w:w="1403" w:type="dxa"/>
            <w:vMerge w:val="continue"/>
          </w:tcPr>
          <w:p>
            <w:pPr>
              <w:spacing w:line="360" w:lineRule="auto"/>
              <w:jc w:val="center"/>
              <w:rPr>
                <w:rFonts w:ascii="仿宋_GB2312" w:hAnsi="仿宋_GB2312" w:eastAsia="仿宋_GB2312" w:cs="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tcPr>
          <w:p>
            <w:pPr>
              <w:spacing w:line="360" w:lineRule="auto"/>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13</w:t>
            </w:r>
          </w:p>
        </w:tc>
        <w:tc>
          <w:tcPr>
            <w:tcW w:w="3630" w:type="dxa"/>
          </w:tcPr>
          <w:p>
            <w:pPr>
              <w:spacing w:line="360" w:lineRule="auto"/>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六类网线配塑料线槽 （24*14毫米）</w:t>
            </w:r>
          </w:p>
        </w:tc>
        <w:tc>
          <w:tcPr>
            <w:tcW w:w="1050" w:type="dxa"/>
          </w:tcPr>
          <w:p>
            <w:pPr>
              <w:spacing w:line="360" w:lineRule="auto"/>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米</w:t>
            </w:r>
          </w:p>
        </w:tc>
        <w:tc>
          <w:tcPr>
            <w:tcW w:w="1695" w:type="dxa"/>
          </w:tcPr>
          <w:p>
            <w:pPr>
              <w:spacing w:line="360" w:lineRule="auto"/>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13.5元</w:t>
            </w:r>
          </w:p>
        </w:tc>
        <w:tc>
          <w:tcPr>
            <w:tcW w:w="1403" w:type="dxa"/>
            <w:vMerge w:val="continue"/>
          </w:tcPr>
          <w:p>
            <w:pPr>
              <w:spacing w:line="360" w:lineRule="auto"/>
              <w:jc w:val="center"/>
              <w:rPr>
                <w:rFonts w:ascii="仿宋_GB2312" w:hAnsi="仿宋_GB2312" w:eastAsia="仿宋_GB2312" w:cs="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tcPr>
          <w:p>
            <w:pPr>
              <w:spacing w:line="360" w:lineRule="auto"/>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14</w:t>
            </w:r>
          </w:p>
        </w:tc>
        <w:tc>
          <w:tcPr>
            <w:tcW w:w="3630" w:type="dxa"/>
          </w:tcPr>
          <w:p>
            <w:pPr>
              <w:spacing w:line="360" w:lineRule="auto"/>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网络面板加底盒</w:t>
            </w:r>
          </w:p>
        </w:tc>
        <w:tc>
          <w:tcPr>
            <w:tcW w:w="1050" w:type="dxa"/>
          </w:tcPr>
          <w:p>
            <w:pPr>
              <w:spacing w:line="360" w:lineRule="auto"/>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套</w:t>
            </w:r>
          </w:p>
        </w:tc>
        <w:tc>
          <w:tcPr>
            <w:tcW w:w="1695" w:type="dxa"/>
          </w:tcPr>
          <w:p>
            <w:pPr>
              <w:spacing w:line="360" w:lineRule="auto"/>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23.5元</w:t>
            </w:r>
          </w:p>
        </w:tc>
        <w:tc>
          <w:tcPr>
            <w:tcW w:w="1403" w:type="dxa"/>
            <w:vMerge w:val="continue"/>
          </w:tcPr>
          <w:p>
            <w:pPr>
              <w:spacing w:line="360" w:lineRule="auto"/>
              <w:jc w:val="center"/>
              <w:rPr>
                <w:rFonts w:ascii="仿宋_GB2312" w:hAnsi="仿宋_GB2312" w:eastAsia="仿宋_GB2312" w:cs="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tcPr>
          <w:p>
            <w:pPr>
              <w:spacing w:line="360" w:lineRule="auto"/>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15</w:t>
            </w:r>
          </w:p>
        </w:tc>
        <w:tc>
          <w:tcPr>
            <w:tcW w:w="3630" w:type="dxa"/>
          </w:tcPr>
          <w:p>
            <w:pPr>
              <w:spacing w:line="360" w:lineRule="auto"/>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HDMI线缆配塑料线槽 （24*14毫米）</w:t>
            </w:r>
          </w:p>
        </w:tc>
        <w:tc>
          <w:tcPr>
            <w:tcW w:w="1050" w:type="dxa"/>
          </w:tcPr>
          <w:p>
            <w:pPr>
              <w:spacing w:line="360" w:lineRule="auto"/>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米</w:t>
            </w:r>
          </w:p>
        </w:tc>
        <w:tc>
          <w:tcPr>
            <w:tcW w:w="1695" w:type="dxa"/>
          </w:tcPr>
          <w:p>
            <w:pPr>
              <w:spacing w:line="360" w:lineRule="auto"/>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16元</w:t>
            </w:r>
          </w:p>
        </w:tc>
        <w:tc>
          <w:tcPr>
            <w:tcW w:w="1403" w:type="dxa"/>
            <w:vMerge w:val="continue"/>
          </w:tcPr>
          <w:p>
            <w:pPr>
              <w:spacing w:line="360" w:lineRule="auto"/>
              <w:jc w:val="center"/>
              <w:rPr>
                <w:rFonts w:ascii="仿宋_GB2312" w:hAnsi="仿宋_GB2312" w:eastAsia="仿宋_GB2312" w:cs="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tcPr>
          <w:p>
            <w:pPr>
              <w:spacing w:line="360" w:lineRule="auto"/>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16</w:t>
            </w:r>
          </w:p>
        </w:tc>
        <w:tc>
          <w:tcPr>
            <w:tcW w:w="3630" w:type="dxa"/>
          </w:tcPr>
          <w:p>
            <w:pPr>
              <w:spacing w:line="360" w:lineRule="auto"/>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光纤4芯</w:t>
            </w:r>
          </w:p>
        </w:tc>
        <w:tc>
          <w:tcPr>
            <w:tcW w:w="1050" w:type="dxa"/>
          </w:tcPr>
          <w:p>
            <w:pPr>
              <w:spacing w:line="360" w:lineRule="auto"/>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米</w:t>
            </w:r>
          </w:p>
        </w:tc>
        <w:tc>
          <w:tcPr>
            <w:tcW w:w="1695" w:type="dxa"/>
          </w:tcPr>
          <w:p>
            <w:pPr>
              <w:spacing w:line="360" w:lineRule="auto"/>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3.5元</w:t>
            </w:r>
          </w:p>
        </w:tc>
        <w:tc>
          <w:tcPr>
            <w:tcW w:w="1403" w:type="dxa"/>
            <w:vMerge w:val="continue"/>
          </w:tcPr>
          <w:p>
            <w:pPr>
              <w:spacing w:line="360" w:lineRule="auto"/>
              <w:jc w:val="center"/>
              <w:rPr>
                <w:rFonts w:ascii="仿宋_GB2312" w:hAnsi="仿宋_GB2312" w:eastAsia="仿宋_GB2312" w:cs="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tcPr>
          <w:p>
            <w:pPr>
              <w:spacing w:line="360" w:lineRule="auto"/>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17</w:t>
            </w:r>
          </w:p>
        </w:tc>
        <w:tc>
          <w:tcPr>
            <w:tcW w:w="3630" w:type="dxa"/>
          </w:tcPr>
          <w:p>
            <w:pPr>
              <w:spacing w:line="360" w:lineRule="auto"/>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光纤熔接</w:t>
            </w:r>
          </w:p>
        </w:tc>
        <w:tc>
          <w:tcPr>
            <w:tcW w:w="1050" w:type="dxa"/>
          </w:tcPr>
          <w:p>
            <w:pPr>
              <w:spacing w:line="360" w:lineRule="auto"/>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芯</w:t>
            </w:r>
          </w:p>
        </w:tc>
        <w:tc>
          <w:tcPr>
            <w:tcW w:w="1695" w:type="dxa"/>
          </w:tcPr>
          <w:p>
            <w:pPr>
              <w:spacing w:line="360" w:lineRule="auto"/>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42元</w:t>
            </w:r>
          </w:p>
        </w:tc>
        <w:tc>
          <w:tcPr>
            <w:tcW w:w="1403" w:type="dxa"/>
            <w:vMerge w:val="continue"/>
          </w:tcPr>
          <w:p>
            <w:pPr>
              <w:spacing w:line="360" w:lineRule="auto"/>
              <w:jc w:val="center"/>
              <w:rPr>
                <w:rFonts w:ascii="仿宋_GB2312" w:hAnsi="仿宋_GB2312" w:eastAsia="仿宋_GB2312" w:cs="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tcPr>
          <w:p>
            <w:pPr>
              <w:spacing w:line="360" w:lineRule="auto"/>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18</w:t>
            </w:r>
          </w:p>
        </w:tc>
        <w:tc>
          <w:tcPr>
            <w:tcW w:w="3630" w:type="dxa"/>
          </w:tcPr>
          <w:p>
            <w:pPr>
              <w:spacing w:line="360" w:lineRule="auto"/>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光纤终端盒（24口）</w:t>
            </w:r>
          </w:p>
        </w:tc>
        <w:tc>
          <w:tcPr>
            <w:tcW w:w="1050" w:type="dxa"/>
          </w:tcPr>
          <w:p>
            <w:pPr>
              <w:spacing w:line="360" w:lineRule="auto"/>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个</w:t>
            </w:r>
          </w:p>
        </w:tc>
        <w:tc>
          <w:tcPr>
            <w:tcW w:w="1695" w:type="dxa"/>
          </w:tcPr>
          <w:p>
            <w:pPr>
              <w:spacing w:line="360" w:lineRule="auto"/>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185元</w:t>
            </w:r>
          </w:p>
        </w:tc>
        <w:tc>
          <w:tcPr>
            <w:tcW w:w="1403" w:type="dxa"/>
            <w:vMerge w:val="continue"/>
          </w:tcPr>
          <w:p>
            <w:pPr>
              <w:spacing w:line="360" w:lineRule="auto"/>
              <w:jc w:val="center"/>
              <w:rPr>
                <w:rFonts w:ascii="仿宋_GB2312" w:hAnsi="仿宋_GB2312" w:eastAsia="仿宋_GB2312" w:cs="仿宋_GB2312"/>
                <w:color w:val="000000" w:themeColor="text1"/>
                <w:sz w:val="24"/>
                <w14:textFill>
                  <w14:solidFill>
                    <w14:schemeClr w14:val="tx1"/>
                  </w14:solidFill>
                </w14:textFill>
              </w:rPr>
            </w:pPr>
          </w:p>
        </w:tc>
      </w:tr>
    </w:tbl>
    <w:p>
      <w:pPr>
        <w:spacing w:line="360" w:lineRule="auto"/>
        <w:jc w:val="center"/>
        <w:rPr>
          <w:rFonts w:ascii="仿宋" w:hAnsi="仿宋" w:eastAsia="仿宋" w:cs="仿宋"/>
          <w:color w:val="000000" w:themeColor="text1"/>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br w:type="page"/>
      </w:r>
    </w:p>
    <w:p>
      <w:pPr>
        <w:pStyle w:val="16"/>
        <w:widowControl w:val="0"/>
        <w:pBdr>
          <w:bottom w:val="none" w:color="auto" w:sz="0" w:space="0"/>
        </w:pBdr>
        <w:snapToGrid w:val="0"/>
        <w:spacing w:before="0" w:beforeAutospacing="0" w:after="0" w:afterAutospacing="0" w:line="540" w:lineRule="exact"/>
        <w:jc w:val="left"/>
        <w:textAlignment w:val="auto"/>
        <w:rPr>
          <w:rFonts w:ascii="仿宋" w:hAnsi="仿宋" w:eastAsia="仿宋" w:cs="仿宋"/>
          <w:color w:val="000000" w:themeColor="text1"/>
          <w:kern w:val="2"/>
          <w14:textFill>
            <w14:solidFill>
              <w14:schemeClr w14:val="tx1"/>
            </w14:solidFill>
          </w14:textFill>
        </w:rPr>
      </w:pPr>
      <w:r>
        <w:rPr>
          <w:rFonts w:hint="eastAsia" w:ascii="仿宋" w:hAnsi="仿宋" w:eastAsia="仿宋" w:cs="仿宋"/>
          <w:color w:val="000000" w:themeColor="text1"/>
          <w:kern w:val="2"/>
          <w14:textFill>
            <w14:solidFill>
              <w14:schemeClr w14:val="tx1"/>
            </w14:solidFill>
          </w14:textFill>
        </w:rPr>
        <w:t>附件2</w:t>
      </w:r>
    </w:p>
    <w:p>
      <w:pPr>
        <w:pStyle w:val="16"/>
        <w:widowControl w:val="0"/>
        <w:pBdr>
          <w:bottom w:val="none" w:color="auto" w:sz="0" w:space="0"/>
        </w:pBdr>
        <w:snapToGrid w:val="0"/>
        <w:spacing w:before="0" w:beforeAutospacing="0" w:after="0" w:afterAutospacing="0" w:line="540" w:lineRule="exact"/>
        <w:textAlignment w:val="auto"/>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2"/>
          <w14:textFill>
            <w14:solidFill>
              <w14:schemeClr w14:val="tx1"/>
            </w14:solidFill>
          </w14:textFill>
        </w:rPr>
        <w:t>法定代表人授权委托书</w:t>
      </w:r>
    </w:p>
    <w:p>
      <w:pPr>
        <w:snapToGrid w:val="0"/>
        <w:spacing w:line="540" w:lineRule="exact"/>
        <w:rPr>
          <w:rFonts w:ascii="仿宋" w:hAnsi="仿宋" w:eastAsia="仿宋" w:cs="仿宋"/>
          <w:color w:val="000000" w:themeColor="text1"/>
          <w:sz w:val="28"/>
          <w:szCs w:val="28"/>
          <w:u w:val="single"/>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委托人：</w:t>
      </w:r>
    </w:p>
    <w:p>
      <w:pPr>
        <w:snapToGrid w:val="0"/>
        <w:spacing w:line="540" w:lineRule="exact"/>
        <w:rPr>
          <w:rFonts w:ascii="仿宋" w:hAnsi="仿宋" w:eastAsia="仿宋" w:cs="仿宋"/>
          <w:color w:val="000000" w:themeColor="text1"/>
          <w:sz w:val="28"/>
          <w:szCs w:val="28"/>
          <w:u w:val="single"/>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地址：</w:t>
      </w:r>
    </w:p>
    <w:p>
      <w:pPr>
        <w:snapToGrid w:val="0"/>
        <w:spacing w:line="540" w:lineRule="exact"/>
        <w:rPr>
          <w:rFonts w:ascii="仿宋" w:hAnsi="仿宋" w:eastAsia="仿宋" w:cs="仿宋"/>
          <w:color w:val="000000" w:themeColor="text1"/>
          <w:sz w:val="28"/>
          <w:szCs w:val="28"/>
          <w:u w:val="single"/>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法定代表人：</w:t>
      </w:r>
    </w:p>
    <w:p>
      <w:pPr>
        <w:snapToGrid w:val="0"/>
        <w:spacing w:line="540" w:lineRule="exact"/>
        <w:rPr>
          <w:rFonts w:ascii="仿宋" w:hAnsi="仿宋" w:eastAsia="仿宋" w:cs="仿宋"/>
          <w:color w:val="000000" w:themeColor="text1"/>
          <w:sz w:val="28"/>
          <w:szCs w:val="28"/>
          <w:u w:val="single"/>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委托代理人姓名：</w:t>
      </w:r>
    </w:p>
    <w:p>
      <w:pPr>
        <w:snapToGrid w:val="0"/>
        <w:spacing w:line="540" w:lineRule="exact"/>
        <w:rPr>
          <w:rFonts w:ascii="仿宋" w:hAnsi="仿宋" w:eastAsia="仿宋" w:cs="仿宋"/>
          <w:color w:val="000000" w:themeColor="text1"/>
          <w:sz w:val="28"/>
          <w:szCs w:val="28"/>
          <w:u w:val="single"/>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委托代理人职务：</w:t>
      </w:r>
    </w:p>
    <w:p>
      <w:pPr>
        <w:snapToGrid w:val="0"/>
        <w:spacing w:line="540" w:lineRule="exact"/>
        <w:rPr>
          <w:rFonts w:ascii="仿宋" w:hAnsi="仿宋" w:eastAsia="仿宋" w:cs="仿宋"/>
          <w:color w:val="000000" w:themeColor="text1"/>
          <w:sz w:val="28"/>
          <w:szCs w:val="28"/>
          <w:u w:val="single"/>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委托代理人身份证号：</w:t>
      </w:r>
    </w:p>
    <w:p>
      <w:pPr>
        <w:snapToGrid w:val="0"/>
        <w:spacing w:line="540" w:lineRule="exact"/>
        <w:ind w:left="141" w:leftChars="67" w:firstLine="700" w:firstLineChars="250"/>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委托人现委托上列受委托人为我公司代理人，以本公司的名义参加</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投标的相关活动，该受委托人在投标、合同谈判、合同签订、履行过程中所签署的一切文件及处理与之有关的一切事务，本委托人均予以承认，并由本委托人承担全部法律责任。</w:t>
      </w:r>
    </w:p>
    <w:p>
      <w:pPr>
        <w:snapToGrid w:val="0"/>
        <w:spacing w:line="540" w:lineRule="exact"/>
        <w:ind w:firstLine="560" w:firstLineChars="200"/>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委托期限：自本授权委托书签署之日起至本授权委托书书面终止日为止。</w:t>
      </w:r>
    </w:p>
    <w:p>
      <w:pPr>
        <w:snapToGrid w:val="0"/>
        <w:spacing w:line="540" w:lineRule="exact"/>
        <w:ind w:firstLine="560" w:firstLineChars="200"/>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受委托代理人无转委托权。</w:t>
      </w:r>
    </w:p>
    <w:p>
      <w:pPr>
        <w:snapToGrid w:val="0"/>
        <w:spacing w:line="54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特此委托！（附：委托代理人身份证复印件并盖章）</w:t>
      </w:r>
    </w:p>
    <w:p>
      <w:pPr>
        <w:snapToGrid w:val="0"/>
        <w:spacing w:line="540" w:lineRule="exact"/>
        <w:ind w:firstLine="560" w:firstLineChars="200"/>
        <w:rPr>
          <w:rFonts w:ascii="仿宋" w:hAnsi="仿宋" w:eastAsia="仿宋" w:cs="仿宋"/>
          <w:color w:val="000000" w:themeColor="text1"/>
          <w:sz w:val="28"/>
          <w:szCs w:val="28"/>
          <w14:textFill>
            <w14:solidFill>
              <w14:schemeClr w14:val="tx1"/>
            </w14:solidFill>
          </w14:textFill>
        </w:rPr>
      </w:pPr>
    </w:p>
    <w:p>
      <w:pPr>
        <w:snapToGrid w:val="0"/>
        <w:spacing w:line="540" w:lineRule="exact"/>
        <w:ind w:firstLine="28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委托人：           （盖章）      </w:t>
      </w:r>
    </w:p>
    <w:p>
      <w:pPr>
        <w:snapToGrid w:val="0"/>
        <w:spacing w:line="540" w:lineRule="exact"/>
        <w:ind w:firstLine="280"/>
        <w:rPr>
          <w:rFonts w:ascii="仿宋" w:hAnsi="仿宋" w:eastAsia="仿宋" w:cs="仿宋"/>
          <w:color w:val="000000" w:themeColor="text1"/>
          <w:sz w:val="28"/>
          <w:szCs w:val="28"/>
          <w14:textFill>
            <w14:solidFill>
              <w14:schemeClr w14:val="tx1"/>
            </w14:solidFill>
          </w14:textFill>
        </w:rPr>
      </w:pPr>
    </w:p>
    <w:p>
      <w:pPr>
        <w:snapToGrid w:val="0"/>
        <w:spacing w:line="540" w:lineRule="exact"/>
        <w:ind w:firstLine="28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委托代理人：       （签名）</w:t>
      </w:r>
    </w:p>
    <w:p>
      <w:pPr>
        <w:snapToGrid w:val="0"/>
        <w:spacing w:line="540" w:lineRule="exact"/>
        <w:ind w:firstLine="280"/>
        <w:rPr>
          <w:rFonts w:ascii="仿宋" w:hAnsi="仿宋" w:eastAsia="仿宋" w:cs="仿宋"/>
          <w:color w:val="000000" w:themeColor="text1"/>
          <w:sz w:val="28"/>
          <w:szCs w:val="28"/>
          <w14:textFill>
            <w14:solidFill>
              <w14:schemeClr w14:val="tx1"/>
            </w14:solidFill>
          </w14:textFill>
        </w:rPr>
      </w:pPr>
    </w:p>
    <w:p>
      <w:pPr>
        <w:snapToGrid w:val="0"/>
        <w:spacing w:line="540" w:lineRule="exact"/>
        <w:ind w:firstLine="28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法定代表人：       （签名）      </w:t>
      </w:r>
    </w:p>
    <w:p>
      <w:pPr>
        <w:snapToGrid w:val="0"/>
        <w:spacing w:line="540" w:lineRule="exact"/>
        <w:ind w:firstLine="705"/>
        <w:jc w:val="right"/>
        <w:rPr>
          <w:rFonts w:ascii="仿宋" w:hAnsi="仿宋" w:eastAsia="仿宋" w:cs="仿宋"/>
          <w:color w:val="000000" w:themeColor="text1"/>
          <w:sz w:val="28"/>
          <w:szCs w:val="28"/>
          <w14:textFill>
            <w14:solidFill>
              <w14:schemeClr w14:val="tx1"/>
            </w14:solidFill>
          </w14:textFill>
        </w:rPr>
      </w:pPr>
    </w:p>
    <w:p>
      <w:pPr>
        <w:snapToGrid w:val="0"/>
        <w:spacing w:line="540" w:lineRule="exact"/>
        <w:ind w:right="480" w:firstLine="705"/>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年    月    日</w:t>
      </w:r>
    </w:p>
    <w:p>
      <w:pPr>
        <w:jc w:val="left"/>
        <w:rPr>
          <w:color w:val="000000" w:themeColor="text1"/>
          <w:sz w:val="32"/>
          <w:szCs w:val="32"/>
          <w14:textFill>
            <w14:solidFill>
              <w14:schemeClr w14:val="tx1"/>
            </w14:solidFill>
          </w14:textFill>
        </w:rPr>
      </w:pPr>
    </w:p>
    <w:p>
      <w:pPr>
        <w:jc w:val="left"/>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 xml:space="preserve">附件3 </w:t>
      </w:r>
    </w:p>
    <w:p>
      <w:pPr>
        <w:widowControl/>
        <w:spacing w:line="360" w:lineRule="atLeast"/>
        <w:jc w:val="center"/>
        <w:outlineLvl w:val="1"/>
        <w:rPr>
          <w:rFonts w:ascii="楷体" w:hAnsi="楷体" w:eastAsia="楷体"/>
          <w:b/>
          <w:color w:val="000000" w:themeColor="text1"/>
          <w:sz w:val="32"/>
          <w:szCs w:val="32"/>
          <w14:textFill>
            <w14:solidFill>
              <w14:schemeClr w14:val="tx1"/>
            </w14:solidFill>
          </w14:textFill>
        </w:rPr>
      </w:pPr>
      <w:r>
        <w:rPr>
          <w:rFonts w:hint="eastAsia" w:ascii="楷体" w:hAnsi="楷体" w:eastAsia="楷体"/>
          <w:b/>
          <w:color w:val="000000" w:themeColor="text1"/>
          <w:sz w:val="32"/>
          <w:szCs w:val="32"/>
          <w14:textFill>
            <w14:solidFill>
              <w14:schemeClr w14:val="tx1"/>
            </w14:solidFill>
          </w14:textFill>
        </w:rPr>
        <w:t>承诺函</w:t>
      </w:r>
    </w:p>
    <w:p>
      <w:pPr>
        <w:widowControl/>
        <w:spacing w:line="360" w:lineRule="atLeast"/>
        <w:jc w:val="center"/>
        <w:outlineLvl w:val="1"/>
        <w:rPr>
          <w:rFonts w:ascii="楷体" w:hAnsi="楷体" w:eastAsia="楷体"/>
          <w:b/>
          <w:color w:val="000000" w:themeColor="text1"/>
          <w:sz w:val="24"/>
          <w14:textFill>
            <w14:solidFill>
              <w14:schemeClr w14:val="tx1"/>
            </w14:solidFill>
          </w14:textFill>
        </w:rPr>
      </w:pPr>
    </w:p>
    <w:p>
      <w:pPr>
        <w:widowControl/>
        <w:spacing w:line="320" w:lineRule="exact"/>
        <w:jc w:val="left"/>
        <w:outlineLvl w:val="1"/>
        <w:rPr>
          <w:rFonts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四川省精神医学中心：</w:t>
      </w:r>
    </w:p>
    <w:p>
      <w:pPr>
        <w:widowControl/>
        <w:spacing w:line="320" w:lineRule="exact"/>
        <w:ind w:firstLine="560" w:firstLineChars="200"/>
        <w:jc w:val="left"/>
        <w:outlineLvl w:val="1"/>
        <w:rPr>
          <w:rFonts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我单位作为本次采购项目的投标人，根据招标文件要求，现郑重承诺如下：</w:t>
      </w:r>
    </w:p>
    <w:p>
      <w:pPr>
        <w:widowControl/>
        <w:spacing w:line="320" w:lineRule="exact"/>
        <w:ind w:firstLine="560" w:firstLineChars="200"/>
        <w:jc w:val="left"/>
        <w:outlineLvl w:val="1"/>
        <w:rPr>
          <w:rFonts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一、具备参加本项目规定的以下条件：</w:t>
      </w:r>
    </w:p>
    <w:p>
      <w:pPr>
        <w:widowControl/>
        <w:spacing w:line="320" w:lineRule="exact"/>
        <w:ind w:firstLine="560" w:firstLineChars="200"/>
        <w:jc w:val="left"/>
        <w:outlineLvl w:val="1"/>
        <w:rPr>
          <w:rFonts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（一）具有独立承担民事责任的能力（提供客观证明材料）；</w:t>
      </w:r>
      <w:r>
        <w:rPr>
          <w:rFonts w:ascii="楷体" w:hAnsi="楷体" w:eastAsia="楷体"/>
          <w:color w:val="000000" w:themeColor="text1"/>
          <w:sz w:val="28"/>
          <w:szCs w:val="28"/>
          <w14:textFill>
            <w14:solidFill>
              <w14:schemeClr w14:val="tx1"/>
            </w14:solidFill>
          </w14:textFill>
        </w:rPr>
        <w:br w:type="textWrapping"/>
      </w:r>
      <w:r>
        <w:rPr>
          <w:rFonts w:hint="eastAsia" w:ascii="楷体" w:hAnsi="楷体" w:eastAsia="楷体"/>
          <w:color w:val="000000" w:themeColor="text1"/>
          <w:sz w:val="28"/>
          <w:szCs w:val="28"/>
          <w14:textFill>
            <w14:solidFill>
              <w14:schemeClr w14:val="tx1"/>
            </w14:solidFill>
          </w14:textFill>
        </w:rPr>
        <w:t>　　（二）具有良好的商业信誉和健全的财务会计制度（提供客观证明材料）；</w:t>
      </w:r>
      <w:r>
        <w:rPr>
          <w:rFonts w:ascii="楷体" w:hAnsi="楷体" w:eastAsia="楷体"/>
          <w:color w:val="000000" w:themeColor="text1"/>
          <w:sz w:val="28"/>
          <w:szCs w:val="28"/>
          <w14:textFill>
            <w14:solidFill>
              <w14:schemeClr w14:val="tx1"/>
            </w14:solidFill>
          </w14:textFill>
        </w:rPr>
        <w:br w:type="textWrapping"/>
      </w:r>
      <w:r>
        <w:rPr>
          <w:rFonts w:hint="eastAsia" w:ascii="楷体" w:hAnsi="楷体" w:eastAsia="楷体"/>
          <w:color w:val="000000" w:themeColor="text1"/>
          <w:sz w:val="28"/>
          <w:szCs w:val="28"/>
          <w14:textFill>
            <w14:solidFill>
              <w14:schemeClr w14:val="tx1"/>
            </w14:solidFill>
          </w14:textFill>
        </w:rPr>
        <w:t>　　（三）具有履行合同所必需的设备和专业技术能力；</w:t>
      </w:r>
      <w:r>
        <w:rPr>
          <w:rFonts w:ascii="楷体" w:hAnsi="楷体" w:eastAsia="楷体"/>
          <w:color w:val="000000" w:themeColor="text1"/>
          <w:sz w:val="28"/>
          <w:szCs w:val="28"/>
          <w14:textFill>
            <w14:solidFill>
              <w14:schemeClr w14:val="tx1"/>
            </w14:solidFill>
          </w14:textFill>
        </w:rPr>
        <w:br w:type="textWrapping"/>
      </w:r>
      <w:r>
        <w:rPr>
          <w:rFonts w:hint="eastAsia" w:ascii="楷体" w:hAnsi="楷体" w:eastAsia="楷体"/>
          <w:color w:val="000000" w:themeColor="text1"/>
          <w:sz w:val="28"/>
          <w:szCs w:val="28"/>
          <w14:textFill>
            <w14:solidFill>
              <w14:schemeClr w14:val="tx1"/>
            </w14:solidFill>
          </w14:textFill>
        </w:rPr>
        <w:t>　　（四）有依法缴纳税收和社会保障资金的良好记录（提供客观证明材料）；</w:t>
      </w:r>
      <w:r>
        <w:rPr>
          <w:rFonts w:ascii="楷体" w:hAnsi="楷体" w:eastAsia="楷体"/>
          <w:color w:val="000000" w:themeColor="text1"/>
          <w:sz w:val="28"/>
          <w:szCs w:val="28"/>
          <w14:textFill>
            <w14:solidFill>
              <w14:schemeClr w14:val="tx1"/>
            </w14:solidFill>
          </w14:textFill>
        </w:rPr>
        <w:br w:type="textWrapping"/>
      </w:r>
      <w:r>
        <w:rPr>
          <w:rFonts w:hint="eastAsia" w:ascii="楷体" w:hAnsi="楷体" w:eastAsia="楷体"/>
          <w:color w:val="000000" w:themeColor="text1"/>
          <w:sz w:val="28"/>
          <w:szCs w:val="28"/>
          <w14:textFill>
            <w14:solidFill>
              <w14:schemeClr w14:val="tx1"/>
            </w14:solidFill>
          </w14:textFill>
        </w:rPr>
        <w:t>　　（五）参加采购活动前三年内，在经营活动中没有重大违法记录；</w:t>
      </w:r>
    </w:p>
    <w:p>
      <w:pPr>
        <w:widowControl/>
        <w:spacing w:line="320" w:lineRule="exact"/>
        <w:ind w:firstLine="560" w:firstLineChars="200"/>
        <w:jc w:val="left"/>
        <w:outlineLvl w:val="1"/>
        <w:rPr>
          <w:rFonts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（六）法律、行政法规规定的其他条件；</w:t>
      </w:r>
    </w:p>
    <w:p>
      <w:pPr>
        <w:widowControl/>
        <w:spacing w:line="320" w:lineRule="exact"/>
        <w:ind w:firstLine="560" w:firstLineChars="200"/>
        <w:jc w:val="left"/>
        <w:outlineLvl w:val="1"/>
        <w:rPr>
          <w:rFonts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（七）招标文件中规定的商务要求。（提供客观证明材料）</w:t>
      </w:r>
    </w:p>
    <w:p>
      <w:pPr>
        <w:widowControl/>
        <w:spacing w:line="320" w:lineRule="exact"/>
        <w:ind w:firstLine="560" w:firstLineChars="200"/>
        <w:jc w:val="left"/>
        <w:outlineLvl w:val="1"/>
        <w:rPr>
          <w:rFonts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二、完全接受和满足本项目招标文件中规定的实质性要求，如对招标文件有异议，已经在招标截止时间届满前依法进行维权救济，不存在对招标文件有异议的同时又参加招标以求侥幸中选或者为实现其他非法目的的行为。</w:t>
      </w:r>
    </w:p>
    <w:p>
      <w:pPr>
        <w:widowControl/>
        <w:spacing w:line="320" w:lineRule="exact"/>
        <w:ind w:firstLine="560" w:firstLineChars="200"/>
        <w:jc w:val="left"/>
        <w:outlineLvl w:val="1"/>
        <w:rPr>
          <w:rFonts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三、参加本次招标采购活动，不存在与单位负责人为同一人或者存在直接控股、管理关系的其他供应商参与同一合同项下的采购活动的行为。</w:t>
      </w:r>
    </w:p>
    <w:p>
      <w:pPr>
        <w:widowControl/>
        <w:spacing w:line="320" w:lineRule="exact"/>
        <w:ind w:firstLine="560" w:firstLineChars="200"/>
        <w:jc w:val="left"/>
        <w:outlineLvl w:val="1"/>
        <w:rPr>
          <w:rFonts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四、参加本次招标采购活动，不存在和其他供应商在同一合同项下的采购项目中，同时委托同一个自然人、同一家庭的人员、同一单位的人员作为代理人的行为。</w:t>
      </w:r>
    </w:p>
    <w:p>
      <w:pPr>
        <w:widowControl/>
        <w:spacing w:line="320" w:lineRule="exact"/>
        <w:ind w:firstLine="560" w:firstLineChars="200"/>
        <w:jc w:val="left"/>
        <w:outlineLvl w:val="1"/>
        <w:rPr>
          <w:rFonts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五、如果有《四川省政府采购当事人诚信管理办法》（川财采</w:t>
      </w:r>
      <w:r>
        <w:rPr>
          <w:rFonts w:ascii="楷体" w:hAnsi="楷体" w:eastAsia="楷体"/>
          <w:color w:val="000000" w:themeColor="text1"/>
          <w:sz w:val="28"/>
          <w:szCs w:val="28"/>
          <w14:textFill>
            <w14:solidFill>
              <w14:schemeClr w14:val="tx1"/>
            </w14:solidFill>
          </w14:textFill>
        </w:rPr>
        <w:t>[2015]33</w:t>
      </w:r>
      <w:r>
        <w:rPr>
          <w:rFonts w:hint="eastAsia" w:ascii="楷体" w:hAnsi="楷体" w:eastAsia="楷体"/>
          <w:color w:val="000000" w:themeColor="text1"/>
          <w:sz w:val="28"/>
          <w:szCs w:val="28"/>
          <w14:textFill>
            <w14:solidFill>
              <w14:schemeClr w14:val="tx1"/>
            </w14:solidFill>
          </w14:textFill>
        </w:rPr>
        <w:t>号）规定的记入诚信档案的失信行为，将在参选文件中全面如实反映。</w:t>
      </w:r>
    </w:p>
    <w:p>
      <w:pPr>
        <w:widowControl/>
        <w:spacing w:line="320" w:lineRule="exact"/>
        <w:ind w:firstLine="560" w:firstLineChars="200"/>
        <w:jc w:val="left"/>
        <w:outlineLvl w:val="1"/>
        <w:rPr>
          <w:rFonts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六、招标文件中提供的能够给予招标人带来优惠、好处的任何材料资料和技术、服务、商务等响应承诺情况都是真实的、有效的、合法的。</w:t>
      </w:r>
    </w:p>
    <w:p>
      <w:pPr>
        <w:widowControl/>
        <w:spacing w:line="320" w:lineRule="exact"/>
        <w:ind w:firstLine="560" w:firstLineChars="200"/>
        <w:jc w:val="left"/>
        <w:outlineLvl w:val="1"/>
        <w:rPr>
          <w:rFonts w:ascii="楷体" w:hAnsi="楷体" w:eastAsia="楷体" w:cs="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七、</w:t>
      </w:r>
      <w:r>
        <w:rPr>
          <w:rFonts w:hint="eastAsia" w:ascii="楷体" w:hAnsi="楷体" w:eastAsia="楷体" w:cs="楷体"/>
          <w:bCs/>
          <w:color w:val="000000" w:themeColor="text1"/>
          <w:sz w:val="28"/>
          <w:szCs w:val="28"/>
          <w14:textFill>
            <w14:solidFill>
              <w14:schemeClr w14:val="tx1"/>
            </w14:solidFill>
          </w14:textFill>
        </w:rPr>
        <w:t>此次向四川省精神医学中心报价的服务/货物项目为参选人提供同类服务/相同规格型号货物的四川省内最低报价。</w:t>
      </w:r>
    </w:p>
    <w:p>
      <w:pPr>
        <w:widowControl/>
        <w:spacing w:line="320" w:lineRule="exact"/>
        <w:ind w:firstLine="560" w:firstLineChars="200"/>
        <w:jc w:val="left"/>
        <w:outlineLvl w:val="1"/>
        <w:rPr>
          <w:rFonts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本公司对上述承诺的内容事项真实性负责。如经查实上述承诺的内容事项存在虚假，我公司愿意接受以提供虚假材料谋取中选追究法律责任。</w:t>
      </w:r>
    </w:p>
    <w:p>
      <w:pPr>
        <w:widowControl/>
        <w:spacing w:line="320" w:lineRule="exact"/>
        <w:jc w:val="left"/>
        <w:outlineLvl w:val="1"/>
        <w:rPr>
          <w:rFonts w:ascii="楷体" w:hAnsi="楷体" w:eastAsia="楷体"/>
          <w:color w:val="000000" w:themeColor="text1"/>
          <w:sz w:val="28"/>
          <w:szCs w:val="28"/>
          <w14:textFill>
            <w14:solidFill>
              <w14:schemeClr w14:val="tx1"/>
            </w14:solidFill>
          </w14:textFill>
        </w:rPr>
      </w:pPr>
    </w:p>
    <w:p>
      <w:pPr>
        <w:widowControl/>
        <w:spacing w:line="320" w:lineRule="exact"/>
        <w:ind w:firstLine="548" w:firstLineChars="196"/>
        <w:jc w:val="left"/>
        <w:outlineLvl w:val="1"/>
        <w:rPr>
          <w:rFonts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投标人名称：（单位公章）</w:t>
      </w:r>
    </w:p>
    <w:p>
      <w:pPr>
        <w:widowControl/>
        <w:spacing w:line="320" w:lineRule="exact"/>
        <w:ind w:firstLine="548" w:firstLineChars="196"/>
        <w:jc w:val="left"/>
        <w:outlineLvl w:val="1"/>
        <w:rPr>
          <w:rFonts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法定代表（负责人）或授权代表人（签字或加盖个人名章）：</w:t>
      </w:r>
    </w:p>
    <w:p>
      <w:pPr>
        <w:widowControl/>
        <w:spacing w:line="320" w:lineRule="exact"/>
        <w:ind w:firstLine="548" w:firstLineChars="196"/>
        <w:jc w:val="left"/>
        <w:outlineLvl w:val="1"/>
        <w:rPr>
          <w:rFonts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日期：</w:t>
      </w:r>
    </w:p>
    <w:p>
      <w:pPr>
        <w:jc w:val="left"/>
        <w:rPr>
          <w:color w:val="000000" w:themeColor="text1"/>
          <w:sz w:val="32"/>
          <w:szCs w:val="32"/>
          <w14:textFill>
            <w14:solidFill>
              <w14:schemeClr w14:val="tx1"/>
            </w14:solidFill>
          </w14:textFill>
        </w:rPr>
      </w:pPr>
    </w:p>
    <w:p>
      <w:pPr>
        <w:jc w:val="left"/>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附件4</w:t>
      </w:r>
    </w:p>
    <w:p>
      <w:pPr>
        <w:widowControl/>
        <w:spacing w:line="360" w:lineRule="atLeast"/>
        <w:jc w:val="left"/>
        <w:outlineLvl w:val="1"/>
        <w:rPr>
          <w:rFonts w:ascii="楷体" w:hAnsi="楷体" w:eastAsia="楷体"/>
          <w:b/>
          <w:color w:val="000000" w:themeColor="text1"/>
          <w:sz w:val="24"/>
          <w14:textFill>
            <w14:solidFill>
              <w14:schemeClr w14:val="tx1"/>
            </w14:solidFill>
          </w14:textFill>
        </w:rPr>
      </w:pPr>
    </w:p>
    <w:p>
      <w:pPr>
        <w:pStyle w:val="7"/>
        <w:jc w:val="center"/>
        <w:rPr>
          <w:rFonts w:ascii="楷体" w:hAnsi="楷体" w:eastAsia="楷体"/>
          <w:b/>
          <w:color w:val="000000" w:themeColor="text1"/>
          <w:szCs w:val="32"/>
          <w14:textFill>
            <w14:solidFill>
              <w14:schemeClr w14:val="tx1"/>
            </w14:solidFill>
          </w14:textFill>
        </w:rPr>
      </w:pPr>
      <w:r>
        <w:rPr>
          <w:rFonts w:hint="eastAsia" w:ascii="楷体" w:hAnsi="楷体" w:eastAsia="楷体"/>
          <w:b/>
          <w:color w:val="000000" w:themeColor="text1"/>
          <w:szCs w:val="32"/>
          <w14:textFill>
            <w14:solidFill>
              <w14:schemeClr w14:val="tx1"/>
            </w14:solidFill>
          </w14:textFill>
        </w:rPr>
        <w:t>服务承诺、团队实力、售后服务、</w:t>
      </w:r>
      <w:r>
        <w:rPr>
          <w:rFonts w:hint="eastAsia" w:ascii="楷体" w:hAnsi="楷体" w:eastAsia="楷体"/>
          <w:b/>
          <w:color w:val="000000" w:themeColor="text1"/>
          <w:szCs w:val="32"/>
          <w:lang w:val="en-US"/>
          <w14:textFill>
            <w14:solidFill>
              <w14:schemeClr w14:val="tx1"/>
            </w14:solidFill>
          </w14:textFill>
        </w:rPr>
        <w:t>培训</w:t>
      </w:r>
      <w:r>
        <w:rPr>
          <w:rFonts w:hint="eastAsia" w:ascii="楷体" w:hAnsi="楷体" w:eastAsia="楷体"/>
          <w:b/>
          <w:color w:val="000000" w:themeColor="text1"/>
          <w:szCs w:val="32"/>
          <w14:textFill>
            <w14:solidFill>
              <w14:schemeClr w14:val="tx1"/>
            </w14:solidFill>
          </w14:textFill>
        </w:rPr>
        <w:t>方案</w:t>
      </w:r>
    </w:p>
    <w:p>
      <w:pPr>
        <w:pStyle w:val="7"/>
        <w:jc w:val="left"/>
        <w:rPr>
          <w:rFonts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w:t>
      </w:r>
      <w:r>
        <w:rPr>
          <w:rFonts w:hint="eastAsia" w:ascii="楷体" w:hAnsi="楷体" w:eastAsia="楷体"/>
          <w:color w:val="000000" w:themeColor="text1"/>
          <w:sz w:val="28"/>
          <w:szCs w:val="28"/>
          <w:lang w:val="en-US"/>
          <w14:textFill>
            <w14:solidFill>
              <w14:schemeClr w14:val="tx1"/>
            </w14:solidFill>
          </w14:textFill>
        </w:rPr>
        <w:t>投标</w:t>
      </w:r>
      <w:r>
        <w:rPr>
          <w:rFonts w:hint="eastAsia" w:ascii="楷体" w:hAnsi="楷体" w:eastAsia="楷体"/>
          <w:color w:val="000000" w:themeColor="text1"/>
          <w:sz w:val="28"/>
          <w:szCs w:val="28"/>
          <w14:textFill>
            <w14:solidFill>
              <w14:schemeClr w14:val="tx1"/>
            </w14:solidFill>
          </w14:textFill>
        </w:rPr>
        <w:t>人详细阐述维修备件品质、服务承诺、团队实力、售后方案</w:t>
      </w:r>
      <w:r>
        <w:rPr>
          <w:rFonts w:ascii="楷体" w:hAnsi="楷体" w:eastAsia="楷体"/>
          <w:color w:val="000000" w:themeColor="text1"/>
          <w:sz w:val="28"/>
          <w:szCs w:val="28"/>
          <w14:textFill>
            <w14:solidFill>
              <w14:schemeClr w14:val="tx1"/>
            </w14:solidFill>
          </w14:textFill>
        </w:rPr>
        <w:t>:</w:t>
      </w:r>
      <w:r>
        <w:rPr>
          <w:rFonts w:hint="eastAsia" w:ascii="楷体" w:hAnsi="楷体" w:eastAsia="楷体"/>
          <w:color w:val="000000" w:themeColor="text1"/>
          <w:sz w:val="28"/>
          <w:szCs w:val="28"/>
          <w14:textFill>
            <w14:solidFill>
              <w14:schemeClr w14:val="tx1"/>
            </w14:solidFill>
          </w14:textFill>
        </w:rPr>
        <w:t>）</w:t>
      </w:r>
    </w:p>
    <w:p>
      <w:pPr>
        <w:rPr>
          <w:rFonts w:ascii="楷体" w:hAnsi="楷体" w:eastAsia="楷体"/>
          <w:b/>
          <w:color w:val="000000" w:themeColor="text1"/>
          <w:sz w:val="28"/>
          <w:szCs w:val="28"/>
          <w:lang w:val="zh-CN"/>
          <w14:textFill>
            <w14:solidFill>
              <w14:schemeClr w14:val="tx1"/>
            </w14:solidFill>
          </w14:textFill>
        </w:rPr>
      </w:pPr>
      <w:r>
        <w:rPr>
          <w:rFonts w:hint="eastAsia" w:ascii="楷体" w:hAnsi="楷体" w:eastAsia="楷体"/>
          <w:b/>
          <w:color w:val="000000" w:themeColor="text1"/>
          <w:sz w:val="28"/>
          <w:szCs w:val="28"/>
          <w:lang w:val="zh-CN"/>
          <w14:textFill>
            <w14:solidFill>
              <w14:schemeClr w14:val="tx1"/>
            </w14:solidFill>
          </w14:textFill>
        </w:rPr>
        <w:t>说明：包含但不限于项目服务承诺、团队实力、售后</w:t>
      </w:r>
      <w:r>
        <w:rPr>
          <w:rFonts w:hint="eastAsia" w:ascii="楷体" w:hAnsi="楷体" w:eastAsia="楷体"/>
          <w:b/>
          <w:color w:val="000000" w:themeColor="text1"/>
          <w:sz w:val="28"/>
          <w:szCs w:val="28"/>
          <w14:textFill>
            <w14:solidFill>
              <w14:schemeClr w14:val="tx1"/>
            </w14:solidFill>
          </w14:textFill>
        </w:rPr>
        <w:t>服务</w:t>
      </w:r>
      <w:r>
        <w:rPr>
          <w:rFonts w:hint="eastAsia" w:ascii="楷体" w:hAnsi="楷体" w:eastAsia="楷体"/>
          <w:b/>
          <w:color w:val="000000" w:themeColor="text1"/>
          <w:sz w:val="28"/>
          <w:szCs w:val="28"/>
          <w:lang w:val="zh-CN"/>
          <w14:textFill>
            <w14:solidFill>
              <w14:schemeClr w14:val="tx1"/>
            </w14:solidFill>
          </w14:textFill>
        </w:rPr>
        <w:t>、</w:t>
      </w:r>
      <w:r>
        <w:rPr>
          <w:rFonts w:hint="eastAsia" w:ascii="楷体" w:hAnsi="楷体" w:eastAsia="楷体"/>
          <w:b/>
          <w:color w:val="000000" w:themeColor="text1"/>
          <w:sz w:val="28"/>
          <w:szCs w:val="28"/>
          <w14:textFill>
            <w14:solidFill>
              <w14:schemeClr w14:val="tx1"/>
            </w14:solidFill>
          </w14:textFill>
        </w:rPr>
        <w:t>培训</w:t>
      </w:r>
      <w:r>
        <w:rPr>
          <w:rFonts w:hint="eastAsia" w:ascii="楷体" w:hAnsi="楷体" w:eastAsia="楷体"/>
          <w:b/>
          <w:color w:val="000000" w:themeColor="text1"/>
          <w:sz w:val="28"/>
          <w:szCs w:val="28"/>
          <w:lang w:val="zh-CN"/>
          <w14:textFill>
            <w14:solidFill>
              <w14:schemeClr w14:val="tx1"/>
            </w14:solidFill>
          </w14:textFill>
        </w:rPr>
        <w:t>方案等</w:t>
      </w:r>
    </w:p>
    <w:p>
      <w:pPr>
        <w:jc w:val="center"/>
        <w:rPr>
          <w:rFonts w:ascii="楷体" w:hAnsi="楷体" w:eastAsia="楷体"/>
          <w:b/>
          <w:bCs/>
          <w:color w:val="000000" w:themeColor="text1"/>
          <w:sz w:val="28"/>
          <w:szCs w:val="28"/>
          <w14:textFill>
            <w14:solidFill>
              <w14:schemeClr w14:val="tx1"/>
            </w14:solidFill>
          </w14:textFill>
        </w:rPr>
      </w:pPr>
    </w:p>
    <w:p>
      <w:pPr>
        <w:pStyle w:val="7"/>
        <w:rPr>
          <w:rFonts w:ascii="楷体" w:hAnsi="楷体" w:eastAsia="楷体"/>
          <w:color w:val="000000" w:themeColor="text1"/>
          <w:sz w:val="28"/>
          <w:szCs w:val="28"/>
          <w:lang w:val="en-US"/>
          <w14:textFill>
            <w14:solidFill>
              <w14:schemeClr w14:val="tx1"/>
            </w14:solidFill>
          </w14:textFill>
        </w:rPr>
      </w:pPr>
    </w:p>
    <w:p>
      <w:pPr>
        <w:pStyle w:val="7"/>
        <w:rPr>
          <w:rFonts w:ascii="楷体" w:hAnsi="楷体" w:eastAsia="楷体"/>
          <w:color w:val="000000" w:themeColor="text1"/>
          <w:sz w:val="28"/>
          <w:szCs w:val="28"/>
          <w14:textFill>
            <w14:solidFill>
              <w14:schemeClr w14:val="tx1"/>
            </w14:solidFill>
          </w14:textFill>
        </w:rPr>
      </w:pPr>
    </w:p>
    <w:p>
      <w:pPr>
        <w:pStyle w:val="7"/>
        <w:rPr>
          <w:rFonts w:ascii="楷体" w:hAnsi="楷体" w:eastAsia="楷体"/>
          <w:color w:val="000000" w:themeColor="text1"/>
          <w:sz w:val="28"/>
          <w:szCs w:val="28"/>
          <w14:textFill>
            <w14:solidFill>
              <w14:schemeClr w14:val="tx1"/>
            </w14:solidFill>
          </w14:textFill>
        </w:rPr>
      </w:pPr>
    </w:p>
    <w:p>
      <w:pPr>
        <w:pStyle w:val="7"/>
        <w:rPr>
          <w:rFonts w:ascii="楷体" w:hAnsi="楷体" w:eastAsia="楷体"/>
          <w:color w:val="000000" w:themeColor="text1"/>
          <w:sz w:val="28"/>
          <w:szCs w:val="28"/>
          <w14:textFill>
            <w14:solidFill>
              <w14:schemeClr w14:val="tx1"/>
            </w14:solidFill>
          </w14:textFill>
        </w:rPr>
      </w:pPr>
    </w:p>
    <w:p>
      <w:pPr>
        <w:pStyle w:val="7"/>
        <w:rPr>
          <w:rFonts w:ascii="楷体" w:hAnsi="楷体" w:eastAsia="楷体"/>
          <w:color w:val="000000" w:themeColor="text1"/>
          <w:sz w:val="28"/>
          <w:szCs w:val="28"/>
          <w14:textFill>
            <w14:solidFill>
              <w14:schemeClr w14:val="tx1"/>
            </w14:solidFill>
          </w14:textFill>
        </w:rPr>
      </w:pPr>
    </w:p>
    <w:p>
      <w:pPr>
        <w:pStyle w:val="7"/>
        <w:rPr>
          <w:rFonts w:ascii="楷体" w:hAnsi="楷体" w:eastAsia="楷体"/>
          <w:color w:val="000000" w:themeColor="text1"/>
          <w:sz w:val="28"/>
          <w:szCs w:val="28"/>
          <w14:textFill>
            <w14:solidFill>
              <w14:schemeClr w14:val="tx1"/>
            </w14:solidFill>
          </w14:textFill>
        </w:rPr>
      </w:pPr>
    </w:p>
    <w:p>
      <w:pPr>
        <w:pStyle w:val="7"/>
        <w:rPr>
          <w:rFonts w:ascii="楷体" w:hAnsi="楷体" w:eastAsia="楷体"/>
          <w:color w:val="000000" w:themeColor="text1"/>
          <w:sz w:val="28"/>
          <w:szCs w:val="28"/>
          <w14:textFill>
            <w14:solidFill>
              <w14:schemeClr w14:val="tx1"/>
            </w14:solidFill>
          </w14:textFill>
        </w:rPr>
      </w:pPr>
    </w:p>
    <w:p>
      <w:pPr>
        <w:pStyle w:val="7"/>
        <w:rPr>
          <w:rFonts w:ascii="楷体" w:hAnsi="楷体" w:eastAsia="楷体"/>
          <w:color w:val="000000" w:themeColor="text1"/>
          <w:sz w:val="28"/>
          <w:szCs w:val="28"/>
          <w14:textFill>
            <w14:solidFill>
              <w14:schemeClr w14:val="tx1"/>
            </w14:solidFill>
          </w14:textFill>
        </w:rPr>
      </w:pPr>
    </w:p>
    <w:p>
      <w:pPr>
        <w:pStyle w:val="7"/>
        <w:ind w:left="0" w:leftChars="0"/>
        <w:rPr>
          <w:rFonts w:ascii="楷体" w:hAnsi="楷体" w:eastAsia="楷体"/>
          <w:color w:val="000000" w:themeColor="text1"/>
          <w:sz w:val="28"/>
          <w:szCs w:val="28"/>
          <w14:textFill>
            <w14:solidFill>
              <w14:schemeClr w14:val="tx1"/>
            </w14:solidFill>
          </w14:textFill>
        </w:rPr>
      </w:pPr>
    </w:p>
    <w:p>
      <w:pPr>
        <w:pStyle w:val="7"/>
        <w:ind w:firstLine="840" w:firstLineChars="300"/>
        <w:rPr>
          <w:rFonts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lang w:val="en-US"/>
          <w14:textFill>
            <w14:solidFill>
              <w14:schemeClr w14:val="tx1"/>
            </w14:solidFill>
          </w14:textFill>
        </w:rPr>
        <w:t>投标</w:t>
      </w:r>
      <w:r>
        <w:rPr>
          <w:rFonts w:hint="eastAsia" w:ascii="楷体" w:hAnsi="楷体" w:eastAsia="楷体"/>
          <w:color w:val="000000" w:themeColor="text1"/>
          <w:sz w:val="28"/>
          <w:szCs w:val="28"/>
          <w14:textFill>
            <w14:solidFill>
              <w14:schemeClr w14:val="tx1"/>
            </w14:solidFill>
          </w14:textFill>
        </w:rPr>
        <w:t>人名称：（盖章）</w:t>
      </w:r>
    </w:p>
    <w:p>
      <w:pPr>
        <w:pStyle w:val="7"/>
        <w:ind w:firstLine="840" w:firstLineChars="300"/>
        <w:rPr>
          <w:rFonts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法定代表人（负责人）或授权代表人（签字或盖章）：</w:t>
      </w:r>
    </w:p>
    <w:p>
      <w:pPr>
        <w:pStyle w:val="7"/>
        <w:ind w:firstLine="840" w:firstLineChars="300"/>
        <w:rPr>
          <w:rFonts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lang w:val="en-US"/>
          <w14:textFill>
            <w14:solidFill>
              <w14:schemeClr w14:val="tx1"/>
            </w14:solidFill>
          </w14:textFill>
        </w:rPr>
        <w:t>投标</w:t>
      </w:r>
      <w:r>
        <w:rPr>
          <w:rFonts w:hint="eastAsia" w:ascii="楷体" w:hAnsi="楷体" w:eastAsia="楷体"/>
          <w:color w:val="000000" w:themeColor="text1"/>
          <w:sz w:val="28"/>
          <w:szCs w:val="28"/>
          <w14:textFill>
            <w14:solidFill>
              <w14:schemeClr w14:val="tx1"/>
            </w14:solidFill>
          </w14:textFill>
        </w:rPr>
        <w:t>日期</w:t>
      </w:r>
      <w:r>
        <w:rPr>
          <w:rFonts w:ascii="楷体" w:hAnsi="楷体" w:eastAsia="楷体"/>
          <w:color w:val="000000" w:themeColor="text1"/>
          <w:sz w:val="28"/>
          <w:szCs w:val="28"/>
          <w14:textFill>
            <w14:solidFill>
              <w14:schemeClr w14:val="tx1"/>
            </w14:solidFill>
          </w14:textFill>
        </w:rPr>
        <w:t>:</w:t>
      </w:r>
    </w:p>
    <w:p>
      <w:pPr>
        <w:jc w:val="left"/>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附件5</w:t>
      </w:r>
    </w:p>
    <w:tbl>
      <w:tblPr>
        <w:tblStyle w:val="11"/>
        <w:tblpPr w:leftFromText="180" w:rightFromText="180" w:vertAnchor="text" w:horzAnchor="margin" w:tblpXSpec="center" w:tblpY="198"/>
        <w:tblOverlap w:val="never"/>
        <w:tblW w:w="9835" w:type="dxa"/>
        <w:tblInd w:w="0" w:type="dxa"/>
        <w:tblLayout w:type="fixed"/>
        <w:tblCellMar>
          <w:top w:w="0" w:type="dxa"/>
          <w:left w:w="0" w:type="dxa"/>
          <w:bottom w:w="0" w:type="dxa"/>
          <w:right w:w="0" w:type="dxa"/>
        </w:tblCellMar>
      </w:tblPr>
      <w:tblGrid>
        <w:gridCol w:w="495"/>
        <w:gridCol w:w="928"/>
        <w:gridCol w:w="6325"/>
        <w:gridCol w:w="2087"/>
      </w:tblGrid>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eastAsia="宋体" w:cs="宋体"/>
                <w:b/>
                <w:color w:val="000000" w:themeColor="text1"/>
                <w:kern w:val="0"/>
                <w:sz w:val="22"/>
                <w:szCs w:val="22"/>
                <w14:textFill>
                  <w14:solidFill>
                    <w14:schemeClr w14:val="tx1"/>
                  </w14:solidFill>
                </w14:textFill>
              </w:rPr>
            </w:pPr>
          </w:p>
        </w:tc>
        <w:tc>
          <w:tcPr>
            <w:tcW w:w="934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themeColor="text1"/>
                <w:sz w:val="22"/>
                <w:szCs w:val="22"/>
                <w14:textFill>
                  <w14:solidFill>
                    <w14:schemeClr w14:val="tx1"/>
                  </w14:solidFill>
                </w14:textFill>
              </w:rPr>
            </w:pPr>
            <w:r>
              <w:rPr>
                <w:rFonts w:hint="eastAsia" w:ascii="宋体" w:hAnsi="宋体" w:eastAsia="宋体" w:cs="宋体"/>
                <w:b/>
                <w:color w:val="000000" w:themeColor="text1"/>
                <w:kern w:val="0"/>
                <w:sz w:val="22"/>
                <w:szCs w:val="22"/>
                <w14:textFill>
                  <w14:solidFill>
                    <w14:schemeClr w14:val="tx1"/>
                  </w14:solidFill>
                </w14:textFill>
              </w:rPr>
              <w:t>评标要素索引表</w:t>
            </w: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themeColor="text1"/>
                <w:sz w:val="22"/>
                <w:szCs w:val="22"/>
                <w14:textFill>
                  <w14:solidFill>
                    <w14:schemeClr w14:val="tx1"/>
                  </w14:solidFill>
                </w14:textFill>
              </w:rPr>
            </w:pPr>
            <w:r>
              <w:rPr>
                <w:rFonts w:hint="eastAsia" w:ascii="宋体" w:hAnsi="宋体" w:eastAsia="宋体" w:cs="宋体"/>
                <w:b/>
                <w:color w:val="000000" w:themeColor="text1"/>
                <w:kern w:val="0"/>
                <w:sz w:val="22"/>
                <w:szCs w:val="22"/>
                <w14:textFill>
                  <w14:solidFill>
                    <w14:schemeClr w14:val="tx1"/>
                  </w14:solidFill>
                </w14:textFill>
              </w:rPr>
              <w:t>序号</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themeColor="text1"/>
                <w:sz w:val="22"/>
                <w:szCs w:val="22"/>
                <w14:textFill>
                  <w14:solidFill>
                    <w14:schemeClr w14:val="tx1"/>
                  </w14:solidFill>
                </w14:textFill>
              </w:rPr>
            </w:pPr>
            <w:r>
              <w:rPr>
                <w:rFonts w:hint="eastAsia" w:ascii="宋体" w:hAnsi="宋体" w:eastAsia="宋体" w:cs="宋体"/>
                <w:b/>
                <w:color w:val="000000" w:themeColor="text1"/>
                <w:sz w:val="22"/>
                <w:szCs w:val="22"/>
                <w14:textFill>
                  <w14:solidFill>
                    <w14:schemeClr w14:val="tx1"/>
                  </w14:solidFill>
                </w14:textFill>
              </w:rPr>
              <w:t>审查</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themeColor="text1"/>
                <w:sz w:val="22"/>
                <w:szCs w:val="22"/>
                <w14:textFill>
                  <w14:solidFill>
                    <w14:schemeClr w14:val="tx1"/>
                  </w14:solidFill>
                </w14:textFill>
              </w:rPr>
            </w:pPr>
            <w:r>
              <w:rPr>
                <w:rFonts w:hint="eastAsia" w:ascii="宋体" w:hAnsi="宋体" w:eastAsia="宋体" w:cs="宋体"/>
                <w:b/>
                <w:color w:val="000000" w:themeColor="text1"/>
                <w:kern w:val="0"/>
                <w:sz w:val="22"/>
                <w:szCs w:val="22"/>
                <w14:textFill>
                  <w14:solidFill>
                    <w14:schemeClr w14:val="tx1"/>
                  </w14:solidFill>
                </w14:textFill>
              </w:rPr>
              <w:t>评审要素</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themeColor="text1"/>
                <w:sz w:val="22"/>
                <w:szCs w:val="22"/>
                <w14:textFill>
                  <w14:solidFill>
                    <w14:schemeClr w14:val="tx1"/>
                  </w14:solidFill>
                </w14:textFill>
              </w:rPr>
            </w:pPr>
            <w:r>
              <w:rPr>
                <w:rFonts w:hint="eastAsia" w:ascii="宋体" w:hAnsi="宋体" w:eastAsia="宋体" w:cs="宋体"/>
                <w:b/>
                <w:color w:val="000000" w:themeColor="text1"/>
                <w:kern w:val="0"/>
                <w:sz w:val="22"/>
                <w:szCs w:val="22"/>
                <w14:textFill>
                  <w14:solidFill>
                    <w14:schemeClr w14:val="tx1"/>
                  </w14:solidFill>
                </w14:textFill>
              </w:rPr>
              <w:t>投标文件页码范围</w:t>
            </w: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1</w:t>
            </w:r>
          </w:p>
        </w:tc>
        <w:tc>
          <w:tcPr>
            <w:tcW w:w="928"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资格</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报价单</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2</w:t>
            </w:r>
          </w:p>
        </w:tc>
        <w:tc>
          <w:tcPr>
            <w:tcW w:w="92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kern w:val="0"/>
                <w:sz w:val="22"/>
                <w:szCs w:val="22"/>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法定代表人委托授权书</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3</w:t>
            </w:r>
          </w:p>
        </w:tc>
        <w:tc>
          <w:tcPr>
            <w:tcW w:w="92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kern w:val="0"/>
                <w:sz w:val="22"/>
                <w:szCs w:val="22"/>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委托人身份证复印件</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4</w:t>
            </w:r>
          </w:p>
        </w:tc>
        <w:tc>
          <w:tcPr>
            <w:tcW w:w="92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kern w:val="0"/>
                <w:sz w:val="22"/>
                <w:szCs w:val="22"/>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公司营业执照</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5</w:t>
            </w:r>
          </w:p>
        </w:tc>
        <w:tc>
          <w:tcPr>
            <w:tcW w:w="92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kern w:val="0"/>
                <w:sz w:val="22"/>
                <w:szCs w:val="22"/>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体现健全的财务制度的证明材料</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6</w:t>
            </w:r>
          </w:p>
        </w:tc>
        <w:tc>
          <w:tcPr>
            <w:tcW w:w="92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kern w:val="0"/>
                <w:sz w:val="22"/>
                <w:szCs w:val="22"/>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依法缴纳税收和社会保障资金的证明材料或承诺函</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7</w:t>
            </w:r>
          </w:p>
        </w:tc>
        <w:tc>
          <w:tcPr>
            <w:tcW w:w="92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参加采购活动前三年内，在经营活动中没有重大违法记录承诺函</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8</w:t>
            </w:r>
          </w:p>
        </w:tc>
        <w:tc>
          <w:tcPr>
            <w:tcW w:w="92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其他资质</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9</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技术</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技术响应文件</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10</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商务</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商务响应文件</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themeColor="text1"/>
                <w:sz w:val="22"/>
                <w:szCs w:val="22"/>
                <w14:textFill>
                  <w14:solidFill>
                    <w14:schemeClr w14:val="tx1"/>
                  </w14:solidFill>
                </w14:textFill>
              </w:rPr>
            </w:pPr>
          </w:p>
        </w:tc>
      </w:tr>
    </w:tbl>
    <w:p>
      <w:pPr>
        <w:jc w:val="left"/>
        <w:rPr>
          <w:color w:val="000000" w:themeColor="text1"/>
          <w:sz w:val="32"/>
          <w:szCs w:val="32"/>
          <w14:textFill>
            <w14:solidFill>
              <w14:schemeClr w14:val="tx1"/>
            </w14:solidFill>
          </w14:textFill>
        </w:rPr>
      </w:pPr>
    </w:p>
    <w:p>
      <w:pPr>
        <w:jc w:val="left"/>
        <w:rPr>
          <w:color w:val="000000" w:themeColor="text1"/>
          <w:sz w:val="32"/>
          <w:szCs w:val="32"/>
          <w14:textFill>
            <w14:solidFill>
              <w14:schemeClr w14:val="tx1"/>
            </w14:solidFill>
          </w14:textFill>
        </w:rPr>
      </w:pPr>
    </w:p>
    <w:p>
      <w:pPr>
        <w:jc w:val="left"/>
        <w:rPr>
          <w:color w:val="000000" w:themeColor="text1"/>
          <w:sz w:val="32"/>
          <w:szCs w:val="32"/>
          <w14:textFill>
            <w14:solidFill>
              <w14:schemeClr w14:val="tx1"/>
            </w14:solidFill>
          </w14:textFill>
        </w:rPr>
      </w:pPr>
    </w:p>
    <w:p>
      <w:pPr>
        <w:jc w:val="left"/>
        <w:rPr>
          <w:color w:val="000000" w:themeColor="text1"/>
          <w:sz w:val="32"/>
          <w:szCs w:val="32"/>
          <w14:textFill>
            <w14:solidFill>
              <w14:schemeClr w14:val="tx1"/>
            </w14:solidFill>
          </w14:textFill>
        </w:rPr>
      </w:pPr>
    </w:p>
    <w:p>
      <w:pPr>
        <w:jc w:val="left"/>
        <w:rPr>
          <w:color w:val="000000" w:themeColor="text1"/>
          <w:sz w:val="32"/>
          <w:szCs w:val="32"/>
          <w14:textFill>
            <w14:solidFill>
              <w14:schemeClr w14:val="tx1"/>
            </w14:solidFill>
          </w14:textFill>
        </w:rPr>
      </w:pPr>
    </w:p>
    <w:p>
      <w:pPr>
        <w:jc w:val="left"/>
        <w:rPr>
          <w:color w:val="000000" w:themeColor="text1"/>
          <w:sz w:val="32"/>
          <w:szCs w:val="32"/>
          <w14:textFill>
            <w14:solidFill>
              <w14:schemeClr w14:val="tx1"/>
            </w14:solidFill>
          </w14:textFill>
        </w:rPr>
      </w:pPr>
    </w:p>
    <w:p>
      <w:pPr>
        <w:jc w:val="left"/>
        <w:rPr>
          <w:color w:val="000000" w:themeColor="text1"/>
          <w:sz w:val="32"/>
          <w:szCs w:val="32"/>
          <w14:textFill>
            <w14:solidFill>
              <w14:schemeClr w14:val="tx1"/>
            </w14:solidFill>
          </w14:textFill>
        </w:rPr>
      </w:pPr>
    </w:p>
    <w:p>
      <w:pPr>
        <w:jc w:val="left"/>
        <w:rPr>
          <w:color w:val="000000" w:themeColor="text1"/>
          <w:sz w:val="32"/>
          <w:szCs w:val="32"/>
          <w14:textFill>
            <w14:solidFill>
              <w14:schemeClr w14:val="tx1"/>
            </w14:solidFill>
          </w14:textFill>
        </w:rPr>
      </w:pPr>
    </w:p>
    <w:p>
      <w:pPr>
        <w:jc w:val="left"/>
        <w:rPr>
          <w:color w:val="000000" w:themeColor="text1"/>
          <w:sz w:val="32"/>
          <w:szCs w:val="32"/>
          <w14:textFill>
            <w14:solidFill>
              <w14:schemeClr w14:val="tx1"/>
            </w14:solidFill>
          </w14:textFill>
        </w:rPr>
      </w:pPr>
    </w:p>
    <w:p>
      <w:pPr>
        <w:widowControl/>
        <w:jc w:val="left"/>
        <w:rPr>
          <w:color w:val="000000" w:themeColor="text1"/>
          <w:sz w:val="32"/>
          <w:szCs w:val="32"/>
          <w14:textFill>
            <w14:solidFill>
              <w14:schemeClr w14:val="tx1"/>
            </w14:solidFill>
          </w14:textFill>
        </w:rPr>
      </w:pPr>
      <w:r>
        <w:rPr>
          <w:color w:val="000000" w:themeColor="text1"/>
          <w:sz w:val="32"/>
          <w:szCs w:val="32"/>
          <w14:textFill>
            <w14:solidFill>
              <w14:schemeClr w14:val="tx1"/>
            </w14:solidFill>
          </w14:textFill>
        </w:rPr>
        <w:br w:type="page"/>
      </w:r>
    </w:p>
    <w:p>
      <w:pPr>
        <w:jc w:val="left"/>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附件6：技术响应文件</w:t>
      </w:r>
    </w:p>
    <w:p>
      <w:pPr>
        <w:rPr>
          <w:rFonts w:ascii="宋体" w:hAnsi="宋体"/>
          <w:color w:val="000000" w:themeColor="text1"/>
          <w:sz w:val="28"/>
          <w:szCs w:val="28"/>
          <w14:textFill>
            <w14:solidFill>
              <w14:schemeClr w14:val="tx1"/>
            </w14:solidFill>
          </w14:textFill>
        </w:rPr>
      </w:pPr>
    </w:p>
    <w:p>
      <w:pPr>
        <w:jc w:val="left"/>
        <w:rPr>
          <w:color w:val="000000" w:themeColor="text1"/>
          <w:sz w:val="32"/>
          <w:szCs w:val="32"/>
          <w14:textFill>
            <w14:solidFill>
              <w14:schemeClr w14:val="tx1"/>
            </w14:solidFill>
          </w14:textFill>
        </w:rPr>
      </w:pPr>
    </w:p>
    <w:tbl>
      <w:tblPr>
        <w:tblStyle w:val="11"/>
        <w:tblW w:w="10207" w:type="dxa"/>
        <w:tblInd w:w="-743" w:type="dxa"/>
        <w:tblLayout w:type="autofit"/>
        <w:tblCellMar>
          <w:top w:w="0" w:type="dxa"/>
          <w:left w:w="108" w:type="dxa"/>
          <w:bottom w:w="0" w:type="dxa"/>
          <w:right w:w="108" w:type="dxa"/>
        </w:tblCellMar>
      </w:tblPr>
      <w:tblGrid>
        <w:gridCol w:w="1135"/>
        <w:gridCol w:w="4961"/>
        <w:gridCol w:w="2126"/>
        <w:gridCol w:w="1985"/>
      </w:tblGrid>
      <w:tr>
        <w:tblPrEx>
          <w:tblCellMar>
            <w:top w:w="0" w:type="dxa"/>
            <w:left w:w="108" w:type="dxa"/>
            <w:bottom w:w="0" w:type="dxa"/>
            <w:right w:w="108" w:type="dxa"/>
          </w:tblCellMar>
        </w:tblPrEx>
        <w:trPr>
          <w:trHeight w:val="651" w:hRule="atLeast"/>
        </w:trPr>
        <w:tc>
          <w:tcPr>
            <w:tcW w:w="10207"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themeColor="text1"/>
                <w:kern w:val="0"/>
                <w:sz w:val="24"/>
                <w14:textFill>
                  <w14:solidFill>
                    <w14:schemeClr w14:val="tx1"/>
                  </w14:solidFill>
                </w14:textFill>
              </w:rPr>
            </w:pPr>
            <w:r>
              <w:rPr>
                <w:rFonts w:hint="eastAsia" w:ascii="宋体" w:hAnsi="宋体" w:eastAsia="宋体" w:cs="宋体"/>
                <w:b/>
                <w:bCs/>
                <w:color w:val="000000" w:themeColor="text1"/>
                <w:kern w:val="0"/>
                <w:sz w:val="24"/>
                <w14:textFill>
                  <w14:solidFill>
                    <w14:schemeClr w14:val="tx1"/>
                  </w14:solidFill>
                </w14:textFill>
              </w:rPr>
              <w:t>技术响应文件（格式要求）</w:t>
            </w:r>
          </w:p>
        </w:tc>
      </w:tr>
      <w:tr>
        <w:tblPrEx>
          <w:tblCellMar>
            <w:top w:w="0" w:type="dxa"/>
            <w:left w:w="108" w:type="dxa"/>
            <w:bottom w:w="0" w:type="dxa"/>
            <w:right w:w="108" w:type="dxa"/>
          </w:tblCellMar>
        </w:tblPrEx>
        <w:trPr>
          <w:trHeight w:val="315" w:hRule="atLeast"/>
        </w:trPr>
        <w:tc>
          <w:tcPr>
            <w:tcW w:w="1135"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b/>
                <w:bCs/>
                <w:color w:val="000000" w:themeColor="text1"/>
                <w:kern w:val="0"/>
                <w:szCs w:val="21"/>
                <w14:textFill>
                  <w14:solidFill>
                    <w14:schemeClr w14:val="tx1"/>
                  </w14:solidFill>
                </w14:textFill>
              </w:rPr>
            </w:pPr>
            <w:r>
              <w:rPr>
                <w:rFonts w:hint="eastAsia" w:ascii="微软雅黑" w:hAnsi="微软雅黑" w:eastAsia="微软雅黑" w:cs="宋体"/>
                <w:b/>
                <w:bCs/>
                <w:color w:val="000000" w:themeColor="text1"/>
                <w:kern w:val="0"/>
                <w:szCs w:val="21"/>
                <w14:textFill>
                  <w14:solidFill>
                    <w14:schemeClr w14:val="tx1"/>
                  </w14:solidFill>
                </w14:textFill>
              </w:rPr>
              <w:t>/</w:t>
            </w:r>
          </w:p>
        </w:tc>
        <w:tc>
          <w:tcPr>
            <w:tcW w:w="4961"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b/>
                <w:bCs/>
                <w:color w:val="000000" w:themeColor="text1"/>
                <w:kern w:val="0"/>
                <w:szCs w:val="21"/>
                <w14:textFill>
                  <w14:solidFill>
                    <w14:schemeClr w14:val="tx1"/>
                  </w14:solidFill>
                </w14:textFill>
              </w:rPr>
            </w:pPr>
            <w:r>
              <w:rPr>
                <w:rFonts w:hint="eastAsia" w:ascii="微软雅黑" w:hAnsi="微软雅黑" w:eastAsia="微软雅黑" w:cs="宋体"/>
                <w:b/>
                <w:bCs/>
                <w:color w:val="000000" w:themeColor="text1"/>
                <w:kern w:val="0"/>
                <w:szCs w:val="21"/>
                <w14:textFill>
                  <w14:solidFill>
                    <w14:schemeClr w14:val="tx1"/>
                  </w14:solidFill>
                </w14:textFill>
              </w:rPr>
              <w:t>参数要求</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themeColor="text1"/>
                <w:kern w:val="0"/>
                <w:sz w:val="22"/>
                <w:szCs w:val="22"/>
                <w14:textFill>
                  <w14:solidFill>
                    <w14:schemeClr w14:val="tx1"/>
                  </w14:solidFill>
                </w14:textFill>
              </w:rPr>
            </w:pPr>
            <w:r>
              <w:rPr>
                <w:rFonts w:hint="eastAsia" w:ascii="宋体" w:hAnsi="宋体" w:eastAsia="宋体" w:cs="宋体"/>
                <w:b/>
                <w:bCs/>
                <w:color w:val="000000" w:themeColor="text1"/>
                <w:kern w:val="0"/>
                <w:sz w:val="22"/>
                <w:szCs w:val="22"/>
                <w14:textFill>
                  <w14:solidFill>
                    <w14:schemeClr w14:val="tx1"/>
                  </w14:solidFill>
                </w14:textFill>
              </w:rPr>
              <w:t>投标参数</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themeColor="text1"/>
                <w:kern w:val="0"/>
                <w:sz w:val="22"/>
                <w:szCs w:val="22"/>
                <w14:textFill>
                  <w14:solidFill>
                    <w14:schemeClr w14:val="tx1"/>
                  </w14:solidFill>
                </w14:textFill>
              </w:rPr>
            </w:pPr>
            <w:r>
              <w:rPr>
                <w:rFonts w:hint="eastAsia" w:ascii="宋体" w:hAnsi="宋体" w:eastAsia="宋体" w:cs="宋体"/>
                <w:b/>
                <w:bCs/>
                <w:color w:val="000000" w:themeColor="text1"/>
                <w:kern w:val="0"/>
                <w:sz w:val="22"/>
                <w:szCs w:val="22"/>
                <w14:textFill>
                  <w14:solidFill>
                    <w14:schemeClr w14:val="tx1"/>
                  </w14:solidFill>
                </w14:textFill>
              </w:rPr>
              <w:t>是否响应</w:t>
            </w:r>
          </w:p>
        </w:tc>
      </w:tr>
      <w:tr>
        <w:tblPrEx>
          <w:tblCellMar>
            <w:top w:w="0" w:type="dxa"/>
            <w:left w:w="108" w:type="dxa"/>
            <w:bottom w:w="0" w:type="dxa"/>
            <w:right w:w="108" w:type="dxa"/>
          </w:tblCellMar>
        </w:tblPrEx>
        <w:trPr>
          <w:trHeight w:val="645" w:hRule="atLeast"/>
        </w:trPr>
        <w:tc>
          <w:tcPr>
            <w:tcW w:w="1135"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w:t>
            </w:r>
          </w:p>
        </w:tc>
        <w:tc>
          <w:tcPr>
            <w:tcW w:w="496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XX</w:t>
            </w:r>
          </w:p>
        </w:tc>
        <w:tc>
          <w:tcPr>
            <w:tcW w:w="2126"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985"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645" w:hRule="atLeast"/>
        </w:trPr>
        <w:tc>
          <w:tcPr>
            <w:tcW w:w="11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4961"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14:textFill>
                  <w14:solidFill>
                    <w14:schemeClr w14:val="tx1"/>
                  </w14:solidFill>
                </w14:textFill>
              </w:rPr>
            </w:pPr>
            <w:r>
              <w:rPr>
                <w:rFonts w:ascii="宋体" w:hAnsi="宋体" w:eastAsia="宋体" w:cs="宋体"/>
                <w:color w:val="000000" w:themeColor="text1"/>
                <w:kern w:val="0"/>
                <w:szCs w:val="21"/>
                <w14:textFill>
                  <w14:solidFill>
                    <w14:schemeClr w14:val="tx1"/>
                  </w14:solidFill>
                </w14:textFill>
              </w:rPr>
              <w:t>…</w:t>
            </w:r>
          </w:p>
        </w:tc>
        <w:tc>
          <w:tcPr>
            <w:tcW w:w="2126"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ascii="宋体" w:hAnsi="宋体" w:eastAsia="宋体" w:cs="宋体"/>
                <w:color w:val="000000" w:themeColor="text1"/>
                <w:kern w:val="0"/>
                <w:szCs w:val="21"/>
                <w14:textFill>
                  <w14:solidFill>
                    <w14:schemeClr w14:val="tx1"/>
                  </w14:solidFill>
                </w14:textFill>
              </w:rPr>
              <w:t>…</w:t>
            </w:r>
          </w:p>
        </w:tc>
        <w:tc>
          <w:tcPr>
            <w:tcW w:w="1985"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ascii="宋体" w:hAnsi="宋体" w:eastAsia="宋体" w:cs="宋体"/>
                <w:color w:val="000000" w:themeColor="text1"/>
                <w:kern w:val="0"/>
                <w:szCs w:val="21"/>
                <w14:textFill>
                  <w14:solidFill>
                    <w14:schemeClr w14:val="tx1"/>
                  </w14:solidFill>
                </w14:textFill>
              </w:rPr>
              <w:t>…</w:t>
            </w:r>
          </w:p>
        </w:tc>
      </w:tr>
    </w:tbl>
    <w:p>
      <w:pPr>
        <w:jc w:val="left"/>
        <w:rPr>
          <w:color w:val="000000" w:themeColor="text1"/>
          <w:sz w:val="24"/>
          <w:szCs w:val="32"/>
          <w14:textFill>
            <w14:solidFill>
              <w14:schemeClr w14:val="tx1"/>
            </w14:solidFill>
          </w14:textFill>
        </w:rPr>
      </w:pPr>
      <w:r>
        <w:rPr>
          <w:rFonts w:hint="eastAsia"/>
          <w:color w:val="000000" w:themeColor="text1"/>
          <w:sz w:val="24"/>
          <w:szCs w:val="32"/>
          <w14:textFill>
            <w14:solidFill>
              <w14:schemeClr w14:val="tx1"/>
            </w14:solidFill>
          </w14:textFill>
        </w:rPr>
        <w:t>备注：如以上标注为响应，但提供相关客观证明材料显示该参数并未响应，则视为虚假响应，不再纳入合作对象范围。</w:t>
      </w:r>
    </w:p>
    <w:p>
      <w:pPr>
        <w:widowControl/>
        <w:jc w:val="left"/>
        <w:rPr>
          <w:color w:val="000000" w:themeColor="text1"/>
          <w:sz w:val="32"/>
          <w:szCs w:val="32"/>
          <w14:textFill>
            <w14:solidFill>
              <w14:schemeClr w14:val="tx1"/>
            </w14:solidFill>
          </w14:textFill>
        </w:rPr>
      </w:pPr>
      <w:r>
        <w:rPr>
          <w:color w:val="000000" w:themeColor="text1"/>
          <w:sz w:val="32"/>
          <w:szCs w:val="32"/>
          <w14:textFill>
            <w14:solidFill>
              <w14:schemeClr w14:val="tx1"/>
            </w14:solidFill>
          </w14:textFill>
        </w:rPr>
        <w:br w:type="page"/>
      </w:r>
    </w:p>
    <w:p>
      <w:pPr>
        <w:widowControl/>
        <w:jc w:val="left"/>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附件7：商务文件</w:t>
      </w:r>
    </w:p>
    <w:tbl>
      <w:tblPr>
        <w:tblStyle w:val="11"/>
        <w:tblW w:w="87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1985"/>
        <w:gridCol w:w="3671"/>
        <w:gridCol w:w="2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795" w:type="dxa"/>
            <w:noWrap/>
            <w:vAlign w:val="center"/>
          </w:tcPr>
          <w:p>
            <w:pPr>
              <w:pStyle w:val="5"/>
              <w:tabs>
                <w:tab w:val="left" w:pos="6880"/>
              </w:tabs>
              <w:spacing w:line="360" w:lineRule="auto"/>
              <w:ind w:firstLine="0"/>
              <w:jc w:val="center"/>
              <w:rPr>
                <w:rFonts w:ascii="仿宋" w:hAnsi="仿宋" w:eastAsia="仿宋" w:cs="仿宋"/>
                <w:b/>
                <w:color w:val="000000" w:themeColor="text1"/>
                <w:kern w:val="0"/>
                <w:sz w:val="24"/>
                <w:szCs w:val="24"/>
                <w14:textFill>
                  <w14:solidFill>
                    <w14:schemeClr w14:val="tx1"/>
                  </w14:solidFill>
                </w14:textFill>
              </w:rPr>
            </w:pPr>
            <w:r>
              <w:rPr>
                <w:rFonts w:hint="eastAsia" w:ascii="仿宋" w:hAnsi="仿宋" w:eastAsia="仿宋" w:cs="仿宋"/>
                <w:bCs/>
                <w:color w:val="000000" w:themeColor="text1"/>
                <w:kern w:val="0"/>
                <w:sz w:val="24"/>
                <w:szCs w:val="24"/>
                <w14:textFill>
                  <w14:solidFill>
                    <w14:schemeClr w14:val="tx1"/>
                  </w14:solidFill>
                </w14:textFill>
              </w:rPr>
              <w:t>序号</w:t>
            </w:r>
          </w:p>
        </w:tc>
        <w:tc>
          <w:tcPr>
            <w:tcW w:w="1985" w:type="dxa"/>
            <w:vAlign w:val="center"/>
          </w:tcPr>
          <w:p>
            <w:pPr>
              <w:pStyle w:val="10"/>
              <w:pBdr>
                <w:bottom w:val="none" w:color="auto" w:sz="0" w:space="0"/>
              </w:pBdr>
              <w:tabs>
                <w:tab w:val="clear" w:pos="4153"/>
                <w:tab w:val="clear" w:pos="8306"/>
              </w:tabs>
              <w:snapToGrid/>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商务要求</w:t>
            </w:r>
          </w:p>
        </w:tc>
        <w:tc>
          <w:tcPr>
            <w:tcW w:w="3671" w:type="dxa"/>
            <w:noWrap/>
            <w:vAlign w:val="center"/>
          </w:tcPr>
          <w:p>
            <w:pPr>
              <w:pStyle w:val="10"/>
              <w:pBdr>
                <w:bottom w:val="none" w:color="auto" w:sz="0" w:space="0"/>
              </w:pBdr>
              <w:tabs>
                <w:tab w:val="clear" w:pos="4153"/>
                <w:tab w:val="clear" w:pos="8306"/>
              </w:tabs>
              <w:snapToGrid/>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采购文件要求</w:t>
            </w:r>
          </w:p>
        </w:tc>
        <w:tc>
          <w:tcPr>
            <w:tcW w:w="2283" w:type="dxa"/>
            <w:noWrap/>
            <w:vAlign w:val="center"/>
          </w:tcPr>
          <w:p>
            <w:pPr>
              <w:pStyle w:val="10"/>
              <w:pBdr>
                <w:bottom w:val="none" w:color="auto" w:sz="0" w:space="0"/>
              </w:pBdr>
              <w:tabs>
                <w:tab w:val="clear" w:pos="4153"/>
                <w:tab w:val="clear" w:pos="8306"/>
              </w:tabs>
              <w:snapToGrid/>
              <w:spacing w:line="360" w:lineRule="auto"/>
              <w:rPr>
                <w:rFonts w:ascii="仿宋" w:hAnsi="仿宋" w:eastAsia="仿宋" w:cs="仿宋"/>
                <w:b/>
                <w:color w:val="000000" w:themeColor="text1"/>
                <w:kern w:val="0"/>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响应的应答情况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95" w:type="dxa"/>
            <w:noWrap/>
            <w:vAlign w:val="center"/>
          </w:tcPr>
          <w:p>
            <w:pPr>
              <w:pStyle w:val="5"/>
              <w:tabs>
                <w:tab w:val="left" w:pos="34"/>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w:t>
            </w:r>
          </w:p>
        </w:tc>
        <w:tc>
          <w:tcPr>
            <w:tcW w:w="1985" w:type="dxa"/>
            <w:vAlign w:val="center"/>
          </w:tcPr>
          <w:p>
            <w:pPr>
              <w:pStyle w:val="5"/>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交付时间</w:t>
            </w:r>
          </w:p>
        </w:tc>
        <w:tc>
          <w:tcPr>
            <w:tcW w:w="3671" w:type="dxa"/>
            <w:noWrap/>
            <w:vAlign w:val="center"/>
          </w:tcPr>
          <w:p>
            <w:pPr>
              <w:pStyle w:val="5"/>
              <w:tabs>
                <w:tab w:val="left" w:pos="6880"/>
              </w:tabs>
              <w:spacing w:line="360" w:lineRule="auto"/>
              <w:ind w:firstLine="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按照合同约定</w:t>
            </w:r>
          </w:p>
        </w:tc>
        <w:tc>
          <w:tcPr>
            <w:tcW w:w="2283" w:type="dxa"/>
            <w:noWrap/>
            <w:vAlign w:val="center"/>
          </w:tcPr>
          <w:p>
            <w:pPr>
              <w:pStyle w:val="5"/>
              <w:tabs>
                <w:tab w:val="left" w:pos="6880"/>
              </w:tabs>
              <w:spacing w:line="360" w:lineRule="auto"/>
              <w:ind w:firstLine="480"/>
              <w:jc w:val="center"/>
              <w:rPr>
                <w:rFonts w:ascii="仿宋" w:hAnsi="仿宋" w:eastAsia="仿宋"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95" w:type="dxa"/>
            <w:noWrap/>
            <w:vAlign w:val="center"/>
          </w:tcPr>
          <w:p>
            <w:pPr>
              <w:pStyle w:val="5"/>
              <w:tabs>
                <w:tab w:val="left" w:pos="34"/>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w:t>
            </w:r>
          </w:p>
        </w:tc>
        <w:tc>
          <w:tcPr>
            <w:tcW w:w="1985" w:type="dxa"/>
            <w:vAlign w:val="center"/>
          </w:tcPr>
          <w:p>
            <w:pPr>
              <w:pStyle w:val="5"/>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结算方式</w:t>
            </w:r>
          </w:p>
        </w:tc>
        <w:tc>
          <w:tcPr>
            <w:tcW w:w="3671" w:type="dxa"/>
            <w:noWrap/>
            <w:vAlign w:val="center"/>
          </w:tcPr>
          <w:p>
            <w:pPr>
              <w:pStyle w:val="5"/>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以合同约定为准</w:t>
            </w:r>
          </w:p>
        </w:tc>
        <w:tc>
          <w:tcPr>
            <w:tcW w:w="2283" w:type="dxa"/>
            <w:noWrap/>
            <w:vAlign w:val="center"/>
          </w:tcPr>
          <w:p>
            <w:pPr>
              <w:pStyle w:val="5"/>
              <w:tabs>
                <w:tab w:val="left" w:pos="6880"/>
              </w:tabs>
              <w:spacing w:line="360" w:lineRule="auto"/>
              <w:ind w:firstLine="480"/>
              <w:jc w:val="center"/>
              <w:rPr>
                <w:rFonts w:ascii="仿宋" w:hAnsi="仿宋" w:eastAsia="仿宋"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95" w:type="dxa"/>
            <w:noWrap/>
            <w:vAlign w:val="center"/>
          </w:tcPr>
          <w:p>
            <w:pPr>
              <w:pStyle w:val="5"/>
              <w:tabs>
                <w:tab w:val="left" w:pos="34"/>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3</w:t>
            </w:r>
          </w:p>
        </w:tc>
        <w:tc>
          <w:tcPr>
            <w:tcW w:w="1985" w:type="dxa"/>
            <w:vAlign w:val="center"/>
          </w:tcPr>
          <w:p>
            <w:pPr>
              <w:pStyle w:val="5"/>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验收标准</w:t>
            </w:r>
          </w:p>
        </w:tc>
        <w:tc>
          <w:tcPr>
            <w:tcW w:w="3671" w:type="dxa"/>
            <w:noWrap/>
            <w:vAlign w:val="center"/>
          </w:tcPr>
          <w:p>
            <w:pPr>
              <w:pStyle w:val="5"/>
              <w:tabs>
                <w:tab w:val="left" w:pos="6880"/>
              </w:tabs>
              <w:spacing w:line="360" w:lineRule="auto"/>
              <w:ind w:firstLine="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按照合同约定</w:t>
            </w:r>
          </w:p>
        </w:tc>
        <w:tc>
          <w:tcPr>
            <w:tcW w:w="2283" w:type="dxa"/>
            <w:noWrap/>
            <w:vAlign w:val="center"/>
          </w:tcPr>
          <w:p>
            <w:pPr>
              <w:pStyle w:val="5"/>
              <w:tabs>
                <w:tab w:val="left" w:pos="6880"/>
              </w:tabs>
              <w:spacing w:line="360" w:lineRule="auto"/>
              <w:ind w:firstLine="480"/>
              <w:jc w:val="center"/>
              <w:rPr>
                <w:rFonts w:ascii="仿宋" w:hAnsi="仿宋" w:eastAsia="仿宋"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95" w:type="dxa"/>
            <w:noWrap/>
            <w:vAlign w:val="center"/>
          </w:tcPr>
          <w:p>
            <w:pPr>
              <w:pStyle w:val="5"/>
              <w:tabs>
                <w:tab w:val="left" w:pos="34"/>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4</w:t>
            </w:r>
          </w:p>
        </w:tc>
        <w:tc>
          <w:tcPr>
            <w:tcW w:w="1985" w:type="dxa"/>
            <w:vAlign w:val="center"/>
          </w:tcPr>
          <w:p>
            <w:pPr>
              <w:pStyle w:val="5"/>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服务期</w:t>
            </w:r>
          </w:p>
        </w:tc>
        <w:tc>
          <w:tcPr>
            <w:tcW w:w="3671" w:type="dxa"/>
            <w:noWrap/>
            <w:vAlign w:val="center"/>
          </w:tcPr>
          <w:p>
            <w:pPr>
              <w:pStyle w:val="5"/>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一年</w:t>
            </w:r>
          </w:p>
        </w:tc>
        <w:tc>
          <w:tcPr>
            <w:tcW w:w="2283" w:type="dxa"/>
            <w:noWrap/>
            <w:vAlign w:val="center"/>
          </w:tcPr>
          <w:p>
            <w:pPr>
              <w:pStyle w:val="5"/>
              <w:tabs>
                <w:tab w:val="left" w:pos="6880"/>
              </w:tabs>
              <w:spacing w:line="360" w:lineRule="auto"/>
              <w:ind w:firstLine="480"/>
              <w:jc w:val="center"/>
              <w:rPr>
                <w:rFonts w:ascii="仿宋" w:hAnsi="仿宋" w:eastAsia="仿宋"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95" w:type="dxa"/>
            <w:noWrap/>
            <w:vAlign w:val="center"/>
          </w:tcPr>
          <w:p>
            <w:pPr>
              <w:pStyle w:val="5"/>
              <w:tabs>
                <w:tab w:val="left" w:pos="34"/>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5</w:t>
            </w:r>
          </w:p>
        </w:tc>
        <w:tc>
          <w:tcPr>
            <w:tcW w:w="1985" w:type="dxa"/>
            <w:vAlign w:val="center"/>
          </w:tcPr>
          <w:p>
            <w:pPr>
              <w:pStyle w:val="5"/>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售后</w:t>
            </w:r>
          </w:p>
        </w:tc>
        <w:tc>
          <w:tcPr>
            <w:tcW w:w="3671" w:type="dxa"/>
            <w:noWrap/>
            <w:vAlign w:val="center"/>
          </w:tcPr>
          <w:p>
            <w:pPr>
              <w:pStyle w:val="5"/>
              <w:tabs>
                <w:tab w:val="left" w:pos="6880"/>
              </w:tabs>
              <w:spacing w:line="360" w:lineRule="auto"/>
              <w:ind w:firstLine="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按照合同约定</w:t>
            </w:r>
          </w:p>
        </w:tc>
        <w:tc>
          <w:tcPr>
            <w:tcW w:w="2283" w:type="dxa"/>
            <w:noWrap/>
            <w:vAlign w:val="center"/>
          </w:tcPr>
          <w:p>
            <w:pPr>
              <w:pStyle w:val="5"/>
              <w:tabs>
                <w:tab w:val="left" w:pos="6880"/>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95" w:type="dxa"/>
            <w:noWrap/>
            <w:vAlign w:val="center"/>
          </w:tcPr>
          <w:p>
            <w:pPr>
              <w:pStyle w:val="5"/>
              <w:tabs>
                <w:tab w:val="left" w:pos="34"/>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6</w:t>
            </w:r>
          </w:p>
        </w:tc>
        <w:tc>
          <w:tcPr>
            <w:tcW w:w="1985" w:type="dxa"/>
            <w:vAlign w:val="center"/>
          </w:tcPr>
          <w:p>
            <w:pPr>
              <w:pStyle w:val="5"/>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质保期</w:t>
            </w:r>
          </w:p>
        </w:tc>
        <w:tc>
          <w:tcPr>
            <w:tcW w:w="3671" w:type="dxa"/>
            <w:noWrap/>
            <w:vAlign w:val="center"/>
          </w:tcPr>
          <w:p>
            <w:pPr>
              <w:pStyle w:val="5"/>
              <w:tabs>
                <w:tab w:val="left" w:pos="6880"/>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w:t>
            </w:r>
          </w:p>
        </w:tc>
        <w:tc>
          <w:tcPr>
            <w:tcW w:w="2283" w:type="dxa"/>
            <w:noWrap/>
            <w:vAlign w:val="center"/>
          </w:tcPr>
          <w:p>
            <w:pPr>
              <w:pStyle w:val="5"/>
              <w:tabs>
                <w:tab w:val="left" w:pos="6880"/>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95" w:type="dxa"/>
            <w:noWrap/>
            <w:vAlign w:val="center"/>
          </w:tcPr>
          <w:p>
            <w:pPr>
              <w:pStyle w:val="5"/>
              <w:tabs>
                <w:tab w:val="left" w:pos="34"/>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7</w:t>
            </w:r>
          </w:p>
        </w:tc>
        <w:tc>
          <w:tcPr>
            <w:tcW w:w="1985" w:type="dxa"/>
            <w:vAlign w:val="center"/>
          </w:tcPr>
          <w:p>
            <w:pPr>
              <w:pStyle w:val="5"/>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履约保证金</w:t>
            </w:r>
          </w:p>
        </w:tc>
        <w:tc>
          <w:tcPr>
            <w:tcW w:w="3671" w:type="dxa"/>
            <w:noWrap/>
            <w:vAlign w:val="center"/>
          </w:tcPr>
          <w:p>
            <w:pPr>
              <w:pStyle w:val="5"/>
              <w:tabs>
                <w:tab w:val="left" w:pos="6880"/>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w:t>
            </w:r>
          </w:p>
        </w:tc>
        <w:tc>
          <w:tcPr>
            <w:tcW w:w="2283" w:type="dxa"/>
            <w:noWrap/>
            <w:vAlign w:val="center"/>
          </w:tcPr>
          <w:p>
            <w:pPr>
              <w:pStyle w:val="5"/>
              <w:tabs>
                <w:tab w:val="left" w:pos="6880"/>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w:t>
            </w:r>
          </w:p>
        </w:tc>
      </w:tr>
    </w:tbl>
    <w:p>
      <w:pPr>
        <w:jc w:val="left"/>
        <w:rPr>
          <w:color w:val="000000" w:themeColor="text1"/>
          <w:sz w:val="32"/>
          <w:szCs w:val="32"/>
          <w14:textFill>
            <w14:solidFill>
              <w14:schemeClr w14:val="tx1"/>
            </w14:solidFill>
          </w14:textFill>
        </w:rPr>
      </w:pPr>
    </w:p>
    <w:p>
      <w:pPr>
        <w:widowControl/>
        <w:jc w:val="left"/>
        <w:rPr>
          <w:color w:val="000000" w:themeColor="text1"/>
          <w:sz w:val="32"/>
          <w:szCs w:val="32"/>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37F2AC"/>
    <w:multiLevelType w:val="singleLevel"/>
    <w:tmpl w:val="9337F2AC"/>
    <w:lvl w:ilvl="0" w:tentative="0">
      <w:start w:val="1"/>
      <w:numFmt w:val="decimal"/>
      <w:lvlText w:val="%1."/>
      <w:lvlJc w:val="left"/>
      <w:pPr>
        <w:tabs>
          <w:tab w:val="left" w:pos="312"/>
        </w:tabs>
      </w:pPr>
    </w:lvl>
  </w:abstractNum>
  <w:abstractNum w:abstractNumId="1">
    <w:nsid w:val="5D7F237B"/>
    <w:multiLevelType w:val="multilevel"/>
    <w:tmpl w:val="5D7F237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D7F8CAD"/>
    <w:multiLevelType w:val="singleLevel"/>
    <w:tmpl w:val="6D7F8CAD"/>
    <w:lvl w:ilvl="0" w:tentative="0">
      <w:start w:val="1"/>
      <w:numFmt w:val="chineseCounting"/>
      <w:suff w:val="space"/>
      <w:lvlText w:val="第%1部分"/>
      <w:lvlJc w:val="left"/>
      <w:rPr>
        <w:rFonts w:hint="eastAsia"/>
        <w:b/>
        <w:bC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66E"/>
    <w:rsid w:val="00013D73"/>
    <w:rsid w:val="00050F5C"/>
    <w:rsid w:val="00056200"/>
    <w:rsid w:val="00063E39"/>
    <w:rsid w:val="00066AF9"/>
    <w:rsid w:val="00082BBE"/>
    <w:rsid w:val="00083DE2"/>
    <w:rsid w:val="00085067"/>
    <w:rsid w:val="00096D15"/>
    <w:rsid w:val="00096D21"/>
    <w:rsid w:val="000C0FEC"/>
    <w:rsid w:val="000D144C"/>
    <w:rsid w:val="000E02C6"/>
    <w:rsid w:val="000F415C"/>
    <w:rsid w:val="000F4279"/>
    <w:rsid w:val="00102910"/>
    <w:rsid w:val="00115F3D"/>
    <w:rsid w:val="00120948"/>
    <w:rsid w:val="001413C2"/>
    <w:rsid w:val="00154DC0"/>
    <w:rsid w:val="00160F9C"/>
    <w:rsid w:val="0017785D"/>
    <w:rsid w:val="00182B94"/>
    <w:rsid w:val="00185AE2"/>
    <w:rsid w:val="001C0B1C"/>
    <w:rsid w:val="001D1FF2"/>
    <w:rsid w:val="001D7338"/>
    <w:rsid w:val="00210D1F"/>
    <w:rsid w:val="00227099"/>
    <w:rsid w:val="002473D4"/>
    <w:rsid w:val="002701A3"/>
    <w:rsid w:val="00272A7E"/>
    <w:rsid w:val="002A4A5B"/>
    <w:rsid w:val="002C0C44"/>
    <w:rsid w:val="00300777"/>
    <w:rsid w:val="00343363"/>
    <w:rsid w:val="00364FD2"/>
    <w:rsid w:val="00366DBF"/>
    <w:rsid w:val="003A1B80"/>
    <w:rsid w:val="003B2E7E"/>
    <w:rsid w:val="003B6E23"/>
    <w:rsid w:val="003B74EF"/>
    <w:rsid w:val="003B7F3A"/>
    <w:rsid w:val="003C58DB"/>
    <w:rsid w:val="003E7213"/>
    <w:rsid w:val="003E7B7C"/>
    <w:rsid w:val="00401DEB"/>
    <w:rsid w:val="00404816"/>
    <w:rsid w:val="004155FF"/>
    <w:rsid w:val="00430787"/>
    <w:rsid w:val="00435364"/>
    <w:rsid w:val="00451250"/>
    <w:rsid w:val="00460D3F"/>
    <w:rsid w:val="004622D1"/>
    <w:rsid w:val="00470E68"/>
    <w:rsid w:val="004C1B28"/>
    <w:rsid w:val="004C5B21"/>
    <w:rsid w:val="004F04E1"/>
    <w:rsid w:val="0050429B"/>
    <w:rsid w:val="005112C8"/>
    <w:rsid w:val="00513A3D"/>
    <w:rsid w:val="0052011B"/>
    <w:rsid w:val="00530A1E"/>
    <w:rsid w:val="0055769A"/>
    <w:rsid w:val="0056275D"/>
    <w:rsid w:val="005B6F42"/>
    <w:rsid w:val="005C19CF"/>
    <w:rsid w:val="005D69B0"/>
    <w:rsid w:val="005F3643"/>
    <w:rsid w:val="00610EE5"/>
    <w:rsid w:val="00644C3A"/>
    <w:rsid w:val="00650851"/>
    <w:rsid w:val="006C51CC"/>
    <w:rsid w:val="006F2E8D"/>
    <w:rsid w:val="006F6751"/>
    <w:rsid w:val="00704518"/>
    <w:rsid w:val="00716421"/>
    <w:rsid w:val="00734E59"/>
    <w:rsid w:val="00736007"/>
    <w:rsid w:val="00766A2D"/>
    <w:rsid w:val="00793D44"/>
    <w:rsid w:val="007B3C6B"/>
    <w:rsid w:val="007D076B"/>
    <w:rsid w:val="007F2609"/>
    <w:rsid w:val="00816DD6"/>
    <w:rsid w:val="0083224C"/>
    <w:rsid w:val="00836D87"/>
    <w:rsid w:val="00865083"/>
    <w:rsid w:val="0087035F"/>
    <w:rsid w:val="008732E1"/>
    <w:rsid w:val="0088142F"/>
    <w:rsid w:val="00884C42"/>
    <w:rsid w:val="00892012"/>
    <w:rsid w:val="008A322D"/>
    <w:rsid w:val="008C27D5"/>
    <w:rsid w:val="008F00FF"/>
    <w:rsid w:val="00904702"/>
    <w:rsid w:val="00920989"/>
    <w:rsid w:val="00923944"/>
    <w:rsid w:val="00932F62"/>
    <w:rsid w:val="0095484C"/>
    <w:rsid w:val="00965EED"/>
    <w:rsid w:val="0097037B"/>
    <w:rsid w:val="0099436F"/>
    <w:rsid w:val="009B4CBC"/>
    <w:rsid w:val="009C0018"/>
    <w:rsid w:val="009C32E6"/>
    <w:rsid w:val="009C73F5"/>
    <w:rsid w:val="009D0C45"/>
    <w:rsid w:val="009E14DE"/>
    <w:rsid w:val="009F1423"/>
    <w:rsid w:val="00A272A3"/>
    <w:rsid w:val="00A44375"/>
    <w:rsid w:val="00A51F68"/>
    <w:rsid w:val="00A6066E"/>
    <w:rsid w:val="00A608D8"/>
    <w:rsid w:val="00A7584C"/>
    <w:rsid w:val="00A8719D"/>
    <w:rsid w:val="00AA2535"/>
    <w:rsid w:val="00AB221F"/>
    <w:rsid w:val="00AB5F96"/>
    <w:rsid w:val="00AD2206"/>
    <w:rsid w:val="00AE0718"/>
    <w:rsid w:val="00B3492F"/>
    <w:rsid w:val="00B406D9"/>
    <w:rsid w:val="00B4097E"/>
    <w:rsid w:val="00B46FE7"/>
    <w:rsid w:val="00B47D48"/>
    <w:rsid w:val="00B50B9F"/>
    <w:rsid w:val="00B57ED2"/>
    <w:rsid w:val="00B64CB1"/>
    <w:rsid w:val="00B65426"/>
    <w:rsid w:val="00B83C3B"/>
    <w:rsid w:val="00B83C7C"/>
    <w:rsid w:val="00B90053"/>
    <w:rsid w:val="00B90E93"/>
    <w:rsid w:val="00B92299"/>
    <w:rsid w:val="00B93315"/>
    <w:rsid w:val="00B94428"/>
    <w:rsid w:val="00BA559E"/>
    <w:rsid w:val="00BE3788"/>
    <w:rsid w:val="00BF5502"/>
    <w:rsid w:val="00BF646D"/>
    <w:rsid w:val="00C21575"/>
    <w:rsid w:val="00C2289F"/>
    <w:rsid w:val="00C31C63"/>
    <w:rsid w:val="00C45016"/>
    <w:rsid w:val="00C52B72"/>
    <w:rsid w:val="00C87933"/>
    <w:rsid w:val="00CE610A"/>
    <w:rsid w:val="00CF088F"/>
    <w:rsid w:val="00D142DD"/>
    <w:rsid w:val="00D166B1"/>
    <w:rsid w:val="00D67843"/>
    <w:rsid w:val="00D71AFA"/>
    <w:rsid w:val="00DF32CB"/>
    <w:rsid w:val="00E035FD"/>
    <w:rsid w:val="00E255F6"/>
    <w:rsid w:val="00E303D7"/>
    <w:rsid w:val="00E367EB"/>
    <w:rsid w:val="00E55412"/>
    <w:rsid w:val="00E639E2"/>
    <w:rsid w:val="00E76736"/>
    <w:rsid w:val="00E90391"/>
    <w:rsid w:val="00E90D46"/>
    <w:rsid w:val="00EA4D15"/>
    <w:rsid w:val="00EB06CA"/>
    <w:rsid w:val="00F1578D"/>
    <w:rsid w:val="00F15D02"/>
    <w:rsid w:val="00F21F0D"/>
    <w:rsid w:val="00F24E73"/>
    <w:rsid w:val="00F45EA4"/>
    <w:rsid w:val="00F53D68"/>
    <w:rsid w:val="00F56670"/>
    <w:rsid w:val="00F7552D"/>
    <w:rsid w:val="00F80CAC"/>
    <w:rsid w:val="00F83907"/>
    <w:rsid w:val="00F953B6"/>
    <w:rsid w:val="00FA2998"/>
    <w:rsid w:val="00FA429B"/>
    <w:rsid w:val="00FC0E30"/>
    <w:rsid w:val="00FE6EA1"/>
    <w:rsid w:val="02E545CF"/>
    <w:rsid w:val="055B3DD8"/>
    <w:rsid w:val="05D44130"/>
    <w:rsid w:val="079972E3"/>
    <w:rsid w:val="08681BA6"/>
    <w:rsid w:val="0D802026"/>
    <w:rsid w:val="0D8A1BB7"/>
    <w:rsid w:val="0F773B86"/>
    <w:rsid w:val="10C92D79"/>
    <w:rsid w:val="11241047"/>
    <w:rsid w:val="11A32B2E"/>
    <w:rsid w:val="14C929E6"/>
    <w:rsid w:val="15A6798B"/>
    <w:rsid w:val="15EC41DA"/>
    <w:rsid w:val="166D1ACE"/>
    <w:rsid w:val="18425689"/>
    <w:rsid w:val="21044B9D"/>
    <w:rsid w:val="21450C91"/>
    <w:rsid w:val="236766AA"/>
    <w:rsid w:val="26CD3634"/>
    <w:rsid w:val="28042D57"/>
    <w:rsid w:val="28873B16"/>
    <w:rsid w:val="28FC1071"/>
    <w:rsid w:val="29BB23E3"/>
    <w:rsid w:val="2BD13993"/>
    <w:rsid w:val="2E1F0DCC"/>
    <w:rsid w:val="2F9D0AAC"/>
    <w:rsid w:val="30402D14"/>
    <w:rsid w:val="328C6861"/>
    <w:rsid w:val="32D005BE"/>
    <w:rsid w:val="33126B34"/>
    <w:rsid w:val="339577D0"/>
    <w:rsid w:val="35BB1ADD"/>
    <w:rsid w:val="372B531C"/>
    <w:rsid w:val="377E2FE2"/>
    <w:rsid w:val="3844628F"/>
    <w:rsid w:val="395A2864"/>
    <w:rsid w:val="39CE723C"/>
    <w:rsid w:val="3B4A1415"/>
    <w:rsid w:val="3C882827"/>
    <w:rsid w:val="3E327C16"/>
    <w:rsid w:val="3F8326AF"/>
    <w:rsid w:val="402819DE"/>
    <w:rsid w:val="41036A5C"/>
    <w:rsid w:val="41581189"/>
    <w:rsid w:val="429E3216"/>
    <w:rsid w:val="435325FC"/>
    <w:rsid w:val="46044D14"/>
    <w:rsid w:val="46AC21E2"/>
    <w:rsid w:val="48C16D6B"/>
    <w:rsid w:val="493960B2"/>
    <w:rsid w:val="4A1E1FCC"/>
    <w:rsid w:val="4A9956C2"/>
    <w:rsid w:val="4BAE6B92"/>
    <w:rsid w:val="4BC12B62"/>
    <w:rsid w:val="4E5B2A8F"/>
    <w:rsid w:val="4F37130D"/>
    <w:rsid w:val="50093E9D"/>
    <w:rsid w:val="50587221"/>
    <w:rsid w:val="50C8395B"/>
    <w:rsid w:val="51A77B91"/>
    <w:rsid w:val="52530863"/>
    <w:rsid w:val="531F70F4"/>
    <w:rsid w:val="553C243D"/>
    <w:rsid w:val="57025FB0"/>
    <w:rsid w:val="58FB1E5A"/>
    <w:rsid w:val="59EB6C90"/>
    <w:rsid w:val="5A2933F1"/>
    <w:rsid w:val="5CAA0423"/>
    <w:rsid w:val="5D4A47B6"/>
    <w:rsid w:val="5F5156AC"/>
    <w:rsid w:val="61720581"/>
    <w:rsid w:val="655A0F44"/>
    <w:rsid w:val="67993147"/>
    <w:rsid w:val="688C64CE"/>
    <w:rsid w:val="6AE07204"/>
    <w:rsid w:val="6B684A83"/>
    <w:rsid w:val="6CEA1DB7"/>
    <w:rsid w:val="6E627DEF"/>
    <w:rsid w:val="6E96154E"/>
    <w:rsid w:val="7277650C"/>
    <w:rsid w:val="73B644A9"/>
    <w:rsid w:val="73EC71B2"/>
    <w:rsid w:val="74E3624D"/>
    <w:rsid w:val="75462EFD"/>
    <w:rsid w:val="768C05AF"/>
    <w:rsid w:val="79075567"/>
    <w:rsid w:val="795E37A7"/>
    <w:rsid w:val="7AB97090"/>
    <w:rsid w:val="7E5D57A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link w:val="24"/>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2">
    <w:name w:val="Body Text"/>
    <w:basedOn w:val="1"/>
    <w:next w:val="3"/>
    <w:link w:val="20"/>
    <w:qFormat/>
    <w:uiPriority w:val="0"/>
    <w:rPr>
      <w:rFonts w:ascii="Times New Roman"/>
    </w:rPr>
  </w:style>
  <w:style w:type="paragraph" w:styleId="3">
    <w:name w:val="Body Text First Indent"/>
    <w:basedOn w:val="2"/>
    <w:unhideWhenUsed/>
    <w:qFormat/>
    <w:uiPriority w:val="99"/>
    <w:pPr>
      <w:ind w:firstLine="420" w:firstLineChars="100"/>
    </w:pPr>
  </w:style>
  <w:style w:type="paragraph" w:styleId="5">
    <w:name w:val="Normal Indent"/>
    <w:basedOn w:val="1"/>
    <w:qFormat/>
    <w:uiPriority w:val="0"/>
    <w:pPr>
      <w:ind w:firstLine="420"/>
    </w:pPr>
    <w:rPr>
      <w:rFonts w:ascii="Times New Roman" w:hAnsi="Times New Roman" w:eastAsia="宋体" w:cs="Times New Roman"/>
      <w:szCs w:val="20"/>
    </w:rPr>
  </w:style>
  <w:style w:type="paragraph" w:styleId="6">
    <w:name w:val="annotation text"/>
    <w:basedOn w:val="1"/>
    <w:link w:val="21"/>
    <w:qFormat/>
    <w:uiPriority w:val="0"/>
    <w:pPr>
      <w:jc w:val="left"/>
    </w:pPr>
    <w:rPr>
      <w:sz w:val="18"/>
      <w:szCs w:val="20"/>
    </w:rPr>
  </w:style>
  <w:style w:type="paragraph" w:styleId="7">
    <w:name w:val="Body Text Indent"/>
    <w:basedOn w:val="1"/>
    <w:link w:val="19"/>
    <w:qFormat/>
    <w:uiPriority w:val="0"/>
    <w:pPr>
      <w:spacing w:after="120"/>
      <w:ind w:left="420" w:leftChars="200"/>
    </w:pPr>
    <w:rPr>
      <w:rFonts w:ascii="Calibri" w:hAnsi="Calibri" w:eastAsia="宋体" w:cs="Times New Roman"/>
      <w:lang w:val="zh-CN"/>
    </w:rPr>
  </w:style>
  <w:style w:type="paragraph" w:styleId="8">
    <w:name w:val="Balloon Text"/>
    <w:basedOn w:val="1"/>
    <w:link w:val="26"/>
    <w:semiHidden/>
    <w:unhideWhenUsed/>
    <w:uiPriority w:val="0"/>
    <w:rPr>
      <w:sz w:val="18"/>
      <w:szCs w:val="18"/>
    </w:rPr>
  </w:style>
  <w:style w:type="paragraph" w:styleId="9">
    <w:name w:val="footer"/>
    <w:basedOn w:val="1"/>
    <w:link w:val="18"/>
    <w:qFormat/>
    <w:uiPriority w:val="0"/>
    <w:pPr>
      <w:tabs>
        <w:tab w:val="center" w:pos="4153"/>
        <w:tab w:val="right" w:pos="8306"/>
      </w:tabs>
      <w:snapToGrid w:val="0"/>
      <w:jc w:val="left"/>
    </w:pPr>
    <w:rPr>
      <w:sz w:val="18"/>
      <w:szCs w:val="18"/>
    </w:rPr>
  </w:style>
  <w:style w:type="paragraph" w:styleId="10">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page number"/>
    <w:qFormat/>
    <w:uiPriority w:val="0"/>
  </w:style>
  <w:style w:type="character" w:styleId="15">
    <w:name w:val="annotation reference"/>
    <w:basedOn w:val="13"/>
    <w:qFormat/>
    <w:uiPriority w:val="0"/>
    <w:rPr>
      <w:sz w:val="21"/>
      <w:szCs w:val="21"/>
    </w:rPr>
  </w:style>
  <w:style w:type="paragraph" w:customStyle="1" w:styleId="16">
    <w:name w:val="xl51"/>
    <w:basedOn w:val="1"/>
    <w:qFormat/>
    <w:uiPriority w:val="99"/>
    <w:pPr>
      <w:widowControl/>
      <w:pBdr>
        <w:bottom w:val="single" w:color="auto" w:sz="4" w:space="0"/>
      </w:pBdr>
      <w:spacing w:before="100" w:beforeAutospacing="1" w:after="100" w:afterAutospacing="1"/>
      <w:jc w:val="center"/>
      <w:textAlignment w:val="center"/>
    </w:pPr>
    <w:rPr>
      <w:rFonts w:ascii="宋体" w:hAnsi="宋体"/>
      <w:b/>
      <w:bCs/>
      <w:kern w:val="0"/>
      <w:sz w:val="32"/>
      <w:szCs w:val="32"/>
    </w:rPr>
  </w:style>
  <w:style w:type="character" w:customStyle="1" w:styleId="17">
    <w:name w:val="页眉 Char"/>
    <w:basedOn w:val="13"/>
    <w:link w:val="10"/>
    <w:qFormat/>
    <w:uiPriority w:val="0"/>
    <w:rPr>
      <w:rFonts w:asciiTheme="minorHAnsi" w:hAnsiTheme="minorHAnsi" w:eastAsiaTheme="minorEastAsia" w:cstheme="minorBidi"/>
      <w:kern w:val="2"/>
      <w:sz w:val="18"/>
      <w:szCs w:val="18"/>
    </w:rPr>
  </w:style>
  <w:style w:type="character" w:customStyle="1" w:styleId="18">
    <w:name w:val="页脚 Char"/>
    <w:basedOn w:val="13"/>
    <w:link w:val="9"/>
    <w:qFormat/>
    <w:uiPriority w:val="0"/>
    <w:rPr>
      <w:rFonts w:asciiTheme="minorHAnsi" w:hAnsiTheme="minorHAnsi" w:eastAsiaTheme="minorEastAsia" w:cstheme="minorBidi"/>
      <w:kern w:val="2"/>
      <w:sz w:val="18"/>
      <w:szCs w:val="18"/>
    </w:rPr>
  </w:style>
  <w:style w:type="character" w:customStyle="1" w:styleId="19">
    <w:name w:val="正文文本缩进 Char"/>
    <w:basedOn w:val="13"/>
    <w:link w:val="7"/>
    <w:qFormat/>
    <w:uiPriority w:val="0"/>
    <w:rPr>
      <w:rFonts w:ascii="Calibri" w:hAnsi="Calibri"/>
      <w:kern w:val="2"/>
      <w:sz w:val="21"/>
      <w:szCs w:val="24"/>
      <w:lang w:val="zh-CN"/>
    </w:rPr>
  </w:style>
  <w:style w:type="character" w:customStyle="1" w:styleId="20">
    <w:name w:val="正文文本 Char"/>
    <w:basedOn w:val="13"/>
    <w:link w:val="2"/>
    <w:qFormat/>
    <w:uiPriority w:val="99"/>
    <w:rPr>
      <w:rFonts w:hAnsiTheme="minorHAnsi" w:eastAsiaTheme="minorEastAsia" w:cstheme="minorBidi"/>
      <w:kern w:val="2"/>
      <w:sz w:val="21"/>
      <w:szCs w:val="24"/>
    </w:rPr>
  </w:style>
  <w:style w:type="character" w:customStyle="1" w:styleId="21">
    <w:name w:val="批注文字 Char"/>
    <w:link w:val="6"/>
    <w:qFormat/>
    <w:uiPriority w:val="0"/>
    <w:rPr>
      <w:rFonts w:asciiTheme="minorHAnsi" w:hAnsiTheme="minorHAnsi" w:eastAsiaTheme="minorEastAsia" w:cstheme="minorBidi"/>
      <w:kern w:val="2"/>
      <w:sz w:val="18"/>
    </w:rPr>
  </w:style>
  <w:style w:type="paragraph" w:customStyle="1" w:styleId="22">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
    <w:name w:val="正文_0_0_0"/>
    <w:qFormat/>
    <w:uiPriority w:val="0"/>
    <w:pPr>
      <w:widowControl w:val="0"/>
      <w:jc w:val="both"/>
    </w:pPr>
    <w:rPr>
      <w:rFonts w:ascii="Calibri" w:hAnsi="Calibri" w:eastAsia="宋体" w:cs="Times New Roman"/>
      <w:kern w:val="2"/>
      <w:sz w:val="21"/>
      <w:szCs w:val="22"/>
      <w:lang w:val="en-US" w:eastAsia="zh-CN" w:bidi="ar-SA"/>
    </w:rPr>
  </w:style>
  <w:style w:type="character" w:customStyle="1" w:styleId="24">
    <w:name w:val="标题 2 Char"/>
    <w:basedOn w:val="13"/>
    <w:link w:val="4"/>
    <w:semiHidden/>
    <w:qFormat/>
    <w:uiPriority w:val="9"/>
    <w:rPr>
      <w:rFonts w:asciiTheme="majorHAnsi" w:hAnsiTheme="majorHAnsi" w:eastAsiaTheme="majorEastAsia" w:cstheme="majorBidi"/>
      <w:b/>
      <w:bCs/>
      <w:kern w:val="2"/>
      <w:sz w:val="32"/>
      <w:szCs w:val="32"/>
    </w:rPr>
  </w:style>
  <w:style w:type="paragraph" w:customStyle="1" w:styleId="25">
    <w:name w:val="_正文段落"/>
    <w:basedOn w:val="1"/>
    <w:qFormat/>
    <w:uiPriority w:val="0"/>
    <w:pPr>
      <w:spacing w:line="360" w:lineRule="auto"/>
    </w:pPr>
    <w:rPr>
      <w:rFonts w:eastAsia="仿宋_GB2312"/>
      <w:sz w:val="28"/>
    </w:rPr>
  </w:style>
  <w:style w:type="character" w:customStyle="1" w:styleId="26">
    <w:name w:val="批注框文本 Char"/>
    <w:basedOn w:val="13"/>
    <w:link w:val="8"/>
    <w:semiHidden/>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23</Pages>
  <Words>1400</Words>
  <Characters>7980</Characters>
  <Lines>66</Lines>
  <Paragraphs>18</Paragraphs>
  <TotalTime>19</TotalTime>
  <ScaleCrop>false</ScaleCrop>
  <LinksUpToDate>false</LinksUpToDate>
  <CharactersWithSpaces>9362</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2021-01-16T08:59:00Z</dcterms:created>
  <dc:creator>隆道-01</dc:creator>
  <cp:lastModifiedBy>e 姑娘</cp:lastModifiedBy>
  <dcterms:modified xsi:type="dcterms:W3CDTF">2021-07-20T10:18:18Z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E8FCE320EDA345FB91D5827944A8B7F8</vt:lpwstr>
  </property>
</Properties>
</file>