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heme="majorEastAsia"/>
          <w:b/>
          <w:color w:val="000000" w:themeColor="text1"/>
          <w:sz w:val="44"/>
          <w:szCs w:val="44"/>
          <w14:textFill>
            <w14:solidFill>
              <w14:schemeClr w14:val="tx1"/>
            </w14:solidFill>
          </w14:textFill>
        </w:rPr>
      </w:pPr>
    </w:p>
    <w:p>
      <w:pPr>
        <w:jc w:val="center"/>
        <w:rPr>
          <w:rFonts w:hint="eastAsia" w:ascii="仿宋" w:hAnsi="仿宋" w:eastAsia="仿宋" w:cs="宋体"/>
          <w:b/>
          <w:color w:val="000000" w:themeColor="text1"/>
          <w:kern w:val="0"/>
          <w:sz w:val="44"/>
          <w:szCs w:val="44"/>
          <w:lang w:val="zh-CN"/>
          <w14:textFill>
            <w14:solidFill>
              <w14:schemeClr w14:val="tx1"/>
            </w14:solidFill>
          </w14:textFill>
        </w:rPr>
      </w:pPr>
      <w:r>
        <w:rPr>
          <w:rFonts w:hint="eastAsia" w:ascii="仿宋" w:hAnsi="仿宋" w:eastAsia="仿宋" w:cs="宋体"/>
          <w:b/>
          <w:color w:val="000000" w:themeColor="text1"/>
          <w:kern w:val="0"/>
          <w:sz w:val="44"/>
          <w:szCs w:val="44"/>
          <w:lang w:val="zh-CN"/>
          <w14:textFill>
            <w14:solidFill>
              <w14:schemeClr w14:val="tx1"/>
            </w14:solidFill>
          </w14:textFill>
        </w:rPr>
        <w:t>四川省严重精神障碍综合信息管理平台</w:t>
      </w: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lang w:val="zh-CN"/>
          <w14:textFill>
            <w14:solidFill>
              <w14:schemeClr w14:val="tx1"/>
            </w14:solidFill>
          </w14:textFill>
        </w:rPr>
        <w:t>等级保护测评</w:t>
      </w:r>
      <w:r>
        <w:rPr>
          <w:rFonts w:hint="eastAsia" w:ascii="仿宋" w:hAnsi="仿宋" w:eastAsia="仿宋" w:cs="宋体"/>
          <w:b/>
          <w:color w:val="000000" w:themeColor="text1"/>
          <w:kern w:val="0"/>
          <w:sz w:val="44"/>
          <w:szCs w:val="44"/>
          <w:lang w:val="en-US" w:eastAsia="zh-CN"/>
          <w14:textFill>
            <w14:solidFill>
              <w14:schemeClr w14:val="tx1"/>
            </w14:solidFill>
          </w14:textFill>
        </w:rPr>
        <w:t>服务</w:t>
      </w:r>
      <w:r>
        <w:rPr>
          <w:rFonts w:hint="eastAsia" w:ascii="仿宋" w:hAnsi="仿宋" w:eastAsia="仿宋" w:cs="宋体"/>
          <w:b/>
          <w:color w:val="000000" w:themeColor="text1"/>
          <w:kern w:val="0"/>
          <w:sz w:val="44"/>
          <w:szCs w:val="44"/>
          <w14:textFill>
            <w14:solidFill>
              <w14:schemeClr w14:val="tx1"/>
            </w14:solidFill>
          </w14:textFill>
        </w:rPr>
        <w:t>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5"/>
        <w:rPr>
          <w:rFonts w:ascii="仿宋" w:hAnsi="仿宋" w:eastAsia="仿宋"/>
        </w:rPr>
      </w:pPr>
    </w:p>
    <w:p>
      <w:pPr>
        <w:pStyle w:val="5"/>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5"/>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为了落实公安部、网信办应用系统安全等级保护要求，进一步增强系统安全防护能力，确保系统安全稳定运行，防止因系统安全事件引发安全事故，依据《信息安全技术网络安全等级保护基本要求》（GB/T22239-2019）、《信息安全等级保护管理办法》（公通字〔2007〕43号）和《中华人民共和国网络安全法》等标准规范，特开展本次等级保护测评工作。</w:t>
      </w:r>
    </w:p>
    <w:p>
      <w:pPr>
        <w:ind w:firstLine="560" w:firstLineChars="200"/>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本次安全等级保护测评服务范围为以下信息系统：</w:t>
      </w:r>
    </w:p>
    <w:tbl>
      <w:tblPr>
        <w:tblStyle w:val="11"/>
        <w:tblW w:w="7255" w:type="dxa"/>
        <w:jc w:val="center"/>
        <w:tblLayout w:type="fixed"/>
        <w:tblCellMar>
          <w:top w:w="0" w:type="dxa"/>
          <w:left w:w="108" w:type="dxa"/>
          <w:bottom w:w="0" w:type="dxa"/>
          <w:right w:w="108" w:type="dxa"/>
        </w:tblCellMar>
      </w:tblPr>
      <w:tblGrid>
        <w:gridCol w:w="5744"/>
        <w:gridCol w:w="1511"/>
      </w:tblGrid>
      <w:tr>
        <w:tblPrEx>
          <w:tblCellMar>
            <w:top w:w="0" w:type="dxa"/>
            <w:left w:w="108" w:type="dxa"/>
            <w:bottom w:w="0" w:type="dxa"/>
            <w:right w:w="108" w:type="dxa"/>
          </w:tblCellMar>
        </w:tblPrEx>
        <w:trPr>
          <w:trHeight w:val="405" w:hRule="atLeast"/>
          <w:jc w:val="center"/>
        </w:trPr>
        <w:tc>
          <w:tcPr>
            <w:tcW w:w="5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信息系统名称</w:t>
            </w:r>
          </w:p>
        </w:tc>
        <w:tc>
          <w:tcPr>
            <w:tcW w:w="151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定级</w:t>
            </w:r>
          </w:p>
        </w:tc>
      </w:tr>
      <w:tr>
        <w:tblPrEx>
          <w:tblCellMar>
            <w:top w:w="0" w:type="dxa"/>
            <w:left w:w="108" w:type="dxa"/>
            <w:bottom w:w="0" w:type="dxa"/>
            <w:right w:w="108" w:type="dxa"/>
          </w:tblCellMar>
        </w:tblPrEx>
        <w:trPr>
          <w:trHeight w:val="405" w:hRule="atLeast"/>
          <w:jc w:val="center"/>
        </w:trPr>
        <w:tc>
          <w:tcPr>
            <w:tcW w:w="5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四川省严重精神障碍综合管理信息系统</w:t>
            </w:r>
          </w:p>
        </w:tc>
        <w:tc>
          <w:tcPr>
            <w:tcW w:w="15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3级</w:t>
            </w:r>
          </w:p>
        </w:tc>
      </w:tr>
    </w:tbl>
    <w:p>
      <w:pPr>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 xml:space="preserve">    </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auto"/>
          <w:sz w:val="28"/>
          <w:szCs w:val="28"/>
          <w:highlight w:val="yellow"/>
        </w:rPr>
      </w:pPr>
      <w:r>
        <w:rPr>
          <w:rFonts w:hint="eastAsia" w:ascii="仿宋" w:hAnsi="仿宋" w:eastAsia="仿宋" w:cstheme="minorEastAsia"/>
          <w:color w:val="000000" w:themeColor="text1"/>
          <w:sz w:val="28"/>
          <w:szCs w:val="28"/>
          <w14:textFill>
            <w14:solidFill>
              <w14:schemeClr w14:val="tx1"/>
            </w14:solidFill>
          </w14:textFill>
        </w:rPr>
        <w:t>1.6 招标文件获取</w:t>
      </w:r>
      <w:r>
        <w:rPr>
          <w:rFonts w:hint="eastAsia" w:ascii="仿宋" w:hAnsi="仿宋" w:eastAsia="仿宋" w:cstheme="minorEastAsia"/>
          <w:color w:val="auto"/>
          <w:sz w:val="28"/>
          <w:szCs w:val="28"/>
        </w:rPr>
        <w:t>时间：</w:t>
      </w:r>
      <w:r>
        <w:rPr>
          <w:rFonts w:hint="eastAsia" w:ascii="仿宋" w:hAnsi="仿宋" w:eastAsia="仿宋" w:cstheme="minorEastAsia"/>
          <w:color w:val="auto"/>
          <w:sz w:val="28"/>
          <w:szCs w:val="28"/>
          <w:lang w:val="en-US" w:eastAsia="zh-CN"/>
        </w:rPr>
        <w:t>发布招标公告之时</w:t>
      </w:r>
      <w:r>
        <w:rPr>
          <w:rFonts w:hint="eastAsia" w:ascii="仿宋" w:hAnsi="仿宋" w:eastAsia="仿宋" w:cstheme="minorEastAsia"/>
          <w:color w:val="auto"/>
          <w:sz w:val="28"/>
          <w:szCs w:val="28"/>
          <w:highlight w:val="none"/>
          <w:lang w:val="en-US" w:eastAsia="zh-CN"/>
        </w:rPr>
        <w:t>起至</w:t>
      </w:r>
      <w:r>
        <w:rPr>
          <w:rFonts w:hint="eastAsia" w:ascii="仿宋" w:hAnsi="仿宋" w:eastAsia="仿宋" w:cstheme="minorEastAsia"/>
          <w:color w:val="auto"/>
          <w:sz w:val="28"/>
          <w:szCs w:val="28"/>
          <w:highlight w:val="none"/>
        </w:rPr>
        <w:t>202</w:t>
      </w:r>
      <w:r>
        <w:rPr>
          <w:rFonts w:hint="eastAsia" w:ascii="仿宋" w:hAnsi="仿宋" w:eastAsia="仿宋" w:cstheme="minorEastAsia"/>
          <w:color w:val="auto"/>
          <w:sz w:val="28"/>
          <w:szCs w:val="28"/>
          <w:highlight w:val="none"/>
          <w:lang w:val="en-US" w:eastAsia="zh-CN"/>
        </w:rPr>
        <w:t>2</w:t>
      </w:r>
      <w:r>
        <w:rPr>
          <w:rFonts w:hint="eastAsia" w:ascii="仿宋" w:hAnsi="仿宋" w:eastAsia="仿宋" w:cstheme="minorEastAsia"/>
          <w:color w:val="auto"/>
          <w:sz w:val="28"/>
          <w:szCs w:val="28"/>
          <w:highlight w:val="none"/>
        </w:rPr>
        <w:t>.</w:t>
      </w:r>
      <w:r>
        <w:rPr>
          <w:rFonts w:ascii="仿宋" w:hAnsi="仿宋" w:eastAsia="仿宋" w:cstheme="minorEastAsia"/>
          <w:color w:val="auto"/>
          <w:sz w:val="28"/>
          <w:szCs w:val="28"/>
          <w:highlight w:val="none"/>
        </w:rPr>
        <w:t>1</w:t>
      </w:r>
      <w:r>
        <w:rPr>
          <w:rFonts w:hint="eastAsia" w:ascii="仿宋" w:hAnsi="仿宋" w:eastAsia="仿宋" w:cstheme="minorEastAsia"/>
          <w:color w:val="auto"/>
          <w:sz w:val="28"/>
          <w:szCs w:val="28"/>
          <w:highlight w:val="none"/>
          <w:lang w:val="en-US" w:eastAsia="zh-CN"/>
        </w:rPr>
        <w:t>1</w:t>
      </w:r>
      <w:r>
        <w:rPr>
          <w:rFonts w:hint="eastAsia" w:ascii="仿宋" w:hAnsi="仿宋" w:eastAsia="仿宋" w:cstheme="minorEastAsia"/>
          <w:color w:val="auto"/>
          <w:sz w:val="28"/>
          <w:szCs w:val="28"/>
          <w:highlight w:val="none"/>
        </w:rPr>
        <w:t>.</w:t>
      </w:r>
      <w:r>
        <w:rPr>
          <w:rFonts w:hint="eastAsia" w:ascii="仿宋" w:hAnsi="仿宋" w:eastAsia="仿宋" w:cstheme="minorEastAsia"/>
          <w:color w:val="auto"/>
          <w:sz w:val="28"/>
          <w:szCs w:val="28"/>
          <w:highlight w:val="none"/>
          <w:lang w:val="en-US" w:eastAsia="zh-CN"/>
        </w:rPr>
        <w:t>23</w:t>
      </w:r>
      <w:r>
        <w:rPr>
          <w:rFonts w:hint="eastAsia" w:ascii="仿宋" w:hAnsi="仿宋" w:eastAsia="仿宋" w:cstheme="minorEastAsia"/>
          <w:color w:val="auto"/>
          <w:sz w:val="28"/>
          <w:szCs w:val="28"/>
          <w:highlight w:val="none"/>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auto"/>
          <w:sz w:val="28"/>
          <w:szCs w:val="28"/>
        </w:rPr>
        <w:t>1.7 投标文件递交时间：</w:t>
      </w:r>
      <w:r>
        <w:rPr>
          <w:rFonts w:hint="eastAsia" w:ascii="仿宋" w:hAnsi="仿宋" w:eastAsia="仿宋" w:cstheme="minorEastAsia"/>
          <w:color w:val="auto"/>
          <w:sz w:val="28"/>
          <w:szCs w:val="28"/>
          <w:highlight w:val="none"/>
        </w:rPr>
        <w:t>202</w:t>
      </w:r>
      <w:r>
        <w:rPr>
          <w:rFonts w:hint="eastAsia" w:ascii="仿宋" w:hAnsi="仿宋" w:eastAsia="仿宋" w:cstheme="minorEastAsia"/>
          <w:color w:val="auto"/>
          <w:sz w:val="28"/>
          <w:szCs w:val="28"/>
          <w:highlight w:val="none"/>
          <w:lang w:val="en-US" w:eastAsia="zh-CN"/>
        </w:rPr>
        <w:t>2</w:t>
      </w:r>
      <w:r>
        <w:rPr>
          <w:rFonts w:hint="eastAsia" w:ascii="仿宋" w:hAnsi="仿宋" w:eastAsia="仿宋" w:cstheme="minorEastAsia"/>
          <w:color w:val="auto"/>
          <w:sz w:val="28"/>
          <w:szCs w:val="28"/>
          <w:highlight w:val="none"/>
        </w:rPr>
        <w:t>.</w:t>
      </w:r>
      <w:r>
        <w:rPr>
          <w:rFonts w:ascii="仿宋" w:hAnsi="仿宋" w:eastAsia="仿宋" w:cstheme="minorEastAsia"/>
          <w:color w:val="auto"/>
          <w:sz w:val="28"/>
          <w:szCs w:val="28"/>
          <w:highlight w:val="none"/>
        </w:rPr>
        <w:t>1</w:t>
      </w:r>
      <w:r>
        <w:rPr>
          <w:rFonts w:hint="eastAsia" w:ascii="仿宋" w:hAnsi="仿宋" w:eastAsia="仿宋" w:cstheme="minorEastAsia"/>
          <w:color w:val="auto"/>
          <w:sz w:val="28"/>
          <w:szCs w:val="28"/>
          <w:highlight w:val="none"/>
          <w:lang w:val="en-US" w:eastAsia="zh-CN"/>
        </w:rPr>
        <w:t>1</w:t>
      </w:r>
      <w:r>
        <w:rPr>
          <w:rFonts w:hint="eastAsia" w:ascii="仿宋" w:hAnsi="仿宋" w:eastAsia="仿宋" w:cstheme="minorEastAsia"/>
          <w:color w:val="auto"/>
          <w:sz w:val="28"/>
          <w:szCs w:val="28"/>
          <w:highlight w:val="none"/>
        </w:rPr>
        <w:t>.</w:t>
      </w:r>
      <w:r>
        <w:rPr>
          <w:rFonts w:hint="eastAsia" w:ascii="仿宋" w:hAnsi="仿宋" w:eastAsia="仿宋" w:cstheme="minorEastAsia"/>
          <w:color w:val="auto"/>
          <w:sz w:val="28"/>
          <w:szCs w:val="28"/>
          <w:highlight w:val="none"/>
          <w:lang w:val="en-US" w:eastAsia="zh-CN"/>
        </w:rPr>
        <w:t xml:space="preserve">23 </w:t>
      </w:r>
      <w:r>
        <w:rPr>
          <w:rFonts w:hint="eastAsia" w:ascii="仿宋" w:hAnsi="仿宋" w:eastAsia="仿宋" w:cstheme="minorEastAsia"/>
          <w:color w:val="auto"/>
          <w:sz w:val="28"/>
          <w:szCs w:val="28"/>
          <w:highlight w:val="none"/>
        </w:rPr>
        <w:t>1</w:t>
      </w:r>
      <w:r>
        <w:rPr>
          <w:rFonts w:hint="eastAsia" w:ascii="仿宋" w:hAnsi="仿宋" w:eastAsia="仿宋" w:cstheme="minorEastAsia"/>
          <w:color w:val="auto"/>
          <w:sz w:val="28"/>
          <w:szCs w:val="28"/>
          <w:highlight w:val="none"/>
          <w:lang w:val="en-US" w:eastAsia="zh-CN"/>
        </w:rPr>
        <w:t>7</w:t>
      </w:r>
      <w:bookmarkStart w:id="0" w:name="_GoBack"/>
      <w:bookmarkEnd w:id="0"/>
      <w:r>
        <w:rPr>
          <w:rFonts w:hint="eastAsia" w:ascii="仿宋" w:hAnsi="仿宋" w:eastAsia="仿宋" w:cstheme="minorEastAsia"/>
          <w:color w:val="auto"/>
          <w:sz w:val="28"/>
          <w:szCs w:val="28"/>
          <w:highlight w:val="none"/>
        </w:rPr>
        <w:t>:00截</w:t>
      </w:r>
      <w:r>
        <w:rPr>
          <w:rFonts w:hint="eastAsia" w:ascii="仿宋" w:hAnsi="仿宋" w:eastAsia="仿宋" w:cstheme="minorEastAsia"/>
          <w:color w:val="auto"/>
          <w:sz w:val="28"/>
          <w:szCs w:val="28"/>
        </w:rPr>
        <w:t>止</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auto"/>
          <w:sz w:val="28"/>
          <w:szCs w:val="28"/>
          <w:u w:val="single"/>
        </w:rPr>
        <w:t xml:space="preserve"> </w:t>
      </w:r>
      <w:r>
        <w:rPr>
          <w:rFonts w:hint="eastAsia" w:ascii="仿宋" w:hAnsi="仿宋" w:eastAsia="仿宋" w:cstheme="minorEastAsia"/>
          <w:color w:val="auto"/>
          <w:sz w:val="28"/>
          <w:szCs w:val="28"/>
          <w:highlight w:val="none"/>
          <w:u w:val="single"/>
          <w:lang w:val="en-US" w:eastAsia="zh-CN"/>
        </w:rPr>
        <w:t xml:space="preserve"> 9.0</w:t>
      </w:r>
      <w:r>
        <w:rPr>
          <w:rFonts w:hint="eastAsia" w:ascii="仿宋" w:hAnsi="仿宋" w:eastAsia="仿宋" w:cstheme="minorEastAsia"/>
          <w:color w:val="auto"/>
          <w:sz w:val="28"/>
          <w:szCs w:val="28"/>
          <w:highlight w:val="none"/>
          <w:u w:val="single"/>
        </w:rPr>
        <w:t>万元</w:t>
      </w:r>
      <w:r>
        <w:rPr>
          <w:rFonts w:hint="eastAsia" w:ascii="仿宋" w:hAnsi="仿宋" w:eastAsia="仿宋" w:cstheme="minorEastAsia"/>
          <w:color w:val="auto"/>
          <w:sz w:val="28"/>
          <w:szCs w:val="28"/>
          <w:highlight w:val="none"/>
          <w:u w:val="single"/>
          <w:lang w:val="en-US" w:eastAsia="zh-CN"/>
        </w:rPr>
        <w:t xml:space="preserve"> </w:t>
      </w:r>
      <w:r>
        <w:rPr>
          <w:rFonts w:hint="eastAsia" w:ascii="仿宋" w:hAnsi="仿宋" w:eastAsia="仿宋" w:cstheme="minorEastAsia"/>
          <w:color w:val="auto"/>
          <w:sz w:val="28"/>
          <w:szCs w:val="28"/>
          <w:highlight w:val="none"/>
          <w:u w:val="single"/>
        </w:rPr>
        <w:t xml:space="preserve"> </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pStyle w:val="22"/>
        <w:keepNext w:val="0"/>
        <w:keepLines w:val="0"/>
        <w:pageBreakBefore w:val="0"/>
        <w:kinsoku/>
        <w:wordWrap/>
        <w:overflowPunct/>
        <w:topLinePunct w:val="0"/>
        <w:bidi w:val="0"/>
        <w:snapToGrid/>
        <w:spacing w:line="240" w:lineRule="auto"/>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1.12 投标人质</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疑：投标人对招标文件提出质疑的，应在法定期限内，逾期不予受理。</w:t>
      </w:r>
    </w:p>
    <w:p>
      <w:pPr>
        <w:pStyle w:val="22"/>
        <w:keepNext w:val="0"/>
        <w:keepLines w:val="0"/>
        <w:pageBreakBefore w:val="0"/>
        <w:kinsoku/>
        <w:wordWrap/>
        <w:overflowPunct/>
        <w:topLinePunct w:val="0"/>
        <w:bidi w:val="0"/>
        <w:snapToGrid/>
        <w:spacing w:line="240" w:lineRule="auto"/>
        <w:ind w:firstLine="560" w:firstLineChars="200"/>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接收方式：现场递交、邮寄或电子邮件的形式，同时请电话联系采购人提醒接收质疑函。</w:t>
      </w:r>
    </w:p>
    <w:p>
      <w:pPr>
        <w:pStyle w:val="22"/>
        <w:keepNext w:val="0"/>
        <w:keepLines w:val="0"/>
        <w:pageBreakBefore w:val="0"/>
        <w:kinsoku/>
        <w:wordWrap/>
        <w:overflowPunct/>
        <w:topLinePunct w:val="0"/>
        <w:bidi w:val="0"/>
        <w:snapToGrid/>
        <w:spacing w:line="240" w:lineRule="auto"/>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 xml:space="preserve">    地址：四川省成都市温江区芙蓉大道二段33号</w:t>
      </w:r>
    </w:p>
    <w:p>
      <w:pPr>
        <w:pStyle w:val="22"/>
        <w:keepNext w:val="0"/>
        <w:keepLines w:val="0"/>
        <w:pageBreakBefore w:val="0"/>
        <w:kinsoku/>
        <w:wordWrap/>
        <w:overflowPunct/>
        <w:topLinePunct w:val="0"/>
        <w:bidi w:val="0"/>
        <w:snapToGrid/>
        <w:spacing w:line="240" w:lineRule="auto"/>
        <w:ind w:firstLine="560" w:firstLineChars="200"/>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邮箱：</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fldChar w:fldCharType="begin"/>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instrText xml:space="preserve"> HYPERLINK "mailto:sjyzxcg@163.com" </w:instrTex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fldChar w:fldCharType="separate"/>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sjyzxcg@163.com</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fldChar w:fldCharType="end"/>
      </w:r>
    </w:p>
    <w:p>
      <w:pPr>
        <w:pStyle w:val="22"/>
        <w:keepNext w:val="0"/>
        <w:keepLines w:val="0"/>
        <w:pageBreakBefore w:val="0"/>
        <w:kinsoku/>
        <w:wordWrap/>
        <w:overflowPunct/>
        <w:topLinePunct w:val="0"/>
        <w:bidi w:val="0"/>
        <w:snapToGrid/>
        <w:spacing w:line="240" w:lineRule="auto"/>
        <w:ind w:firstLine="560" w:firstLineChars="200"/>
        <w:jc w:val="both"/>
        <w:textAlignment w:val="auto"/>
        <w:outlineLvl w:val="9"/>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电话：028-81020254</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5"/>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w:t>
      </w:r>
      <w:r>
        <w:rPr>
          <w:rFonts w:hint="eastAsia" w:ascii="仿宋" w:hAnsi="仿宋" w:eastAsia="仿宋" w:cstheme="minorEastAsia"/>
          <w:color w:val="000000" w:themeColor="text1"/>
          <w:sz w:val="28"/>
          <w:szCs w:val="28"/>
          <w:lang w:val="en-US" w:eastAsia="zh-CN"/>
          <w14:textFill>
            <w14:solidFill>
              <w14:schemeClr w14:val="tx1"/>
            </w14:solidFill>
          </w14:textFill>
        </w:rPr>
        <w:t>四</w:t>
      </w:r>
      <w:r>
        <w:rPr>
          <w:rFonts w:hint="eastAsia" w:ascii="仿宋" w:hAnsi="仿宋" w:eastAsia="仿宋" w:cstheme="minorEastAsia"/>
          <w:color w:val="000000" w:themeColor="text1"/>
          <w:sz w:val="28"/>
          <w:szCs w:val="28"/>
          <w14:textFill>
            <w14:solidFill>
              <w14:schemeClr w14:val="tx1"/>
            </w14:solidFill>
          </w14:textFill>
        </w:rPr>
        <w:t>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hint="eastAsia"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w:t>
      </w:r>
      <w:r>
        <w:rPr>
          <w:rFonts w:hint="eastAsia" w:ascii="仿宋" w:hAnsi="仿宋" w:eastAsia="仿宋" w:cstheme="minorEastAsia"/>
          <w:b/>
          <w:color w:val="000000" w:themeColor="text1"/>
          <w:sz w:val="28"/>
          <w:szCs w:val="28"/>
          <w:lang w:val="en-US" w:eastAsia="zh-CN"/>
          <w14:textFill>
            <w14:solidFill>
              <w14:schemeClr w14:val="tx1"/>
            </w14:solidFill>
          </w14:textFill>
        </w:rPr>
        <w:t>废标</w:t>
      </w:r>
      <w:r>
        <w:rPr>
          <w:rFonts w:hint="eastAsia" w:ascii="仿宋" w:hAnsi="仿宋" w:eastAsia="仿宋" w:cstheme="minorEastAsia"/>
          <w:b/>
          <w:color w:val="000000" w:themeColor="text1"/>
          <w:sz w:val="28"/>
          <w:szCs w:val="28"/>
          <w14:textFill>
            <w14:solidFill>
              <w14:schemeClr w14:val="tx1"/>
            </w14:solidFill>
          </w14:textFill>
        </w:rPr>
        <w:t>。</w:t>
      </w:r>
    </w:p>
    <w:p>
      <w:pPr>
        <w:pStyle w:val="5"/>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4.2.3 发生评标委员会推荐排名第一供应商主动放弃中标、被质疑或举报等情况的，参照《关于采购人是否有权顺延确定中标或者成交供应商等问题的函》（财库便函</w:t>
      </w:r>
      <w:r>
        <w:rPr>
          <w:rFonts w:hint="eastAsia" w:ascii="仿宋" w:hAnsi="仿宋" w:eastAsia="仿宋" w:cs="仿宋"/>
          <w:color w:val="000000" w:themeColor="text1"/>
          <w:kern w:val="2"/>
          <w:sz w:val="28"/>
          <w:szCs w:val="28"/>
          <w:lang w:val="en-US" w:eastAsia="zh-CN" w:bidi="ar-SA"/>
          <w14:textFill>
            <w14:solidFill>
              <w14:schemeClr w14:val="tx1"/>
            </w14:solidFill>
          </w14:textFill>
        </w:rPr>
        <w:t>〔2019〕154号</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）处理。</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6"/>
        <w:keepNext w:val="0"/>
        <w:keepLines w:val="0"/>
        <w:pageBreakBefore w:val="0"/>
        <w:kinsoku/>
        <w:wordWrap/>
        <w:overflowPunct/>
        <w:topLinePunct w:val="0"/>
        <w:autoSpaceDE/>
        <w:autoSpaceDN/>
        <w:bidi w:val="0"/>
        <w:adjustRightInd/>
        <w:snapToGrid/>
        <w:spacing w:beforeAutospacing="0" w:afterAutospacing="0"/>
        <w:ind w:firstLine="0" w:firstLineChars="0"/>
        <w:textAlignment w:val="auto"/>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w:t>
      </w:r>
    </w:p>
    <w:p>
      <w:pPr>
        <w:pStyle w:val="10"/>
        <w:keepNext w:val="0"/>
        <w:keepLines w:val="0"/>
        <w:pageBreakBefore w:val="0"/>
        <w:kinsoku/>
        <w:wordWrap/>
        <w:overflowPunct/>
        <w:topLinePunct w:val="0"/>
        <w:autoSpaceDE/>
        <w:autoSpaceDN/>
        <w:bidi w:val="0"/>
        <w:adjustRightInd/>
        <w:snapToGrid/>
        <w:spacing w:before="0" w:beforeAutospacing="0" w:after="0" w:afterAutospacing="0"/>
        <w:ind w:firstLine="562" w:firstLineChars="200"/>
        <w:textAlignment w:val="auto"/>
        <w:rPr>
          <w:rFonts w:ascii="仿宋" w:hAnsi="仿宋" w:eastAsia="仿宋"/>
          <w:b/>
          <w:color w:val="000000"/>
          <w:sz w:val="28"/>
          <w:szCs w:val="27"/>
        </w:rPr>
      </w:pPr>
      <w:r>
        <w:rPr>
          <w:rFonts w:hint="eastAsia" w:ascii="仿宋" w:hAnsi="仿宋" w:eastAsia="仿宋"/>
          <w:b/>
          <w:color w:val="000000"/>
          <w:sz w:val="28"/>
          <w:szCs w:val="27"/>
        </w:rPr>
        <w:t>5.1资格要求</w:t>
      </w:r>
    </w:p>
    <w:p>
      <w:pPr>
        <w:pStyle w:val="10"/>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10"/>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2018-2020年度（任意一年）经审计的财务报告复印件（包含审计报告和审计报告中所涉及的财务报表和报表附注）；②也可提供2018-2020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法定代表人身份证复印件。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6</w:t>
      </w:r>
      <w:r>
        <w:rPr>
          <w:rFonts w:hint="eastAsia" w:ascii="仿宋" w:hAnsi="仿宋" w:eastAsia="仿宋"/>
          <w:color w:val="000000"/>
          <w:sz w:val="28"/>
          <w:szCs w:val="27"/>
        </w:rPr>
        <w:t>法定代表人授权书（格式4）原件和授权代表身份证复印件（投标人代表为非法定代表人时提供）。</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70" w:firstLineChars="100"/>
        <w:textAlignment w:val="auto"/>
        <w:rPr>
          <w:rFonts w:hint="eastAsia" w:ascii="仿宋" w:hAnsi="仿宋" w:eastAsia="仿宋"/>
          <w:b/>
          <w:color w:val="000000"/>
          <w:sz w:val="28"/>
          <w:szCs w:val="27"/>
          <w:lang w:eastAsia="zh-CN"/>
        </w:rPr>
      </w:pPr>
      <w:r>
        <w:rPr>
          <w:rFonts w:hint="eastAsia" w:ascii="仿宋" w:hAnsi="仿宋" w:eastAsia="仿宋"/>
          <w:color w:val="000000"/>
          <w:sz w:val="27"/>
          <w:szCs w:val="27"/>
        </w:rPr>
        <w:t>▲</w:t>
      </w: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lang w:val="en-US" w:eastAsia="zh-CN"/>
        </w:rPr>
        <w:t>技术需求</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rPr>
      </w:pPr>
      <w:r>
        <w:rPr>
          <w:rFonts w:hint="eastAsia" w:ascii="仿宋" w:hAnsi="仿宋" w:eastAsia="仿宋"/>
          <w:color w:val="000000"/>
          <w:sz w:val="28"/>
          <w:szCs w:val="27"/>
          <w:lang w:val="en-US" w:eastAsia="zh-CN"/>
        </w:rPr>
        <w:t>5.2.1测评范围</w:t>
      </w:r>
      <w:r>
        <w:rPr>
          <w:rFonts w:hint="eastAsia" w:ascii="仿宋" w:hAnsi="仿宋" w:eastAsia="仿宋"/>
          <w:color w:val="000000"/>
          <w:sz w:val="28"/>
          <w:szCs w:val="27"/>
        </w:rPr>
        <w:t>覆盖安全管理中心、安全物理环境、安全通信网络、安全区域边界、安全计算环境、安全管理制度等基本要求，以及云计算安全、移动互联安全、物联网安全、工控制系统安全等扩展方面的要求。</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rPr>
      </w:pPr>
      <w:r>
        <w:rPr>
          <w:rFonts w:hint="eastAsia" w:ascii="仿宋" w:hAnsi="仿宋" w:eastAsia="仿宋"/>
          <w:color w:val="000000"/>
          <w:sz w:val="28"/>
          <w:szCs w:val="27"/>
          <w:lang w:val="en-US" w:eastAsia="zh-CN"/>
        </w:rPr>
        <w:t>5.2.2</w:t>
      </w:r>
      <w:r>
        <w:rPr>
          <w:rFonts w:hint="eastAsia" w:ascii="仿宋" w:hAnsi="仿宋" w:eastAsia="仿宋"/>
          <w:color w:val="000000"/>
          <w:sz w:val="28"/>
          <w:szCs w:val="27"/>
        </w:rPr>
        <w:t>服务内容</w:t>
      </w:r>
      <w:r>
        <w:rPr>
          <w:rFonts w:hint="eastAsia" w:ascii="仿宋" w:hAnsi="仿宋" w:eastAsia="仿宋"/>
          <w:color w:val="000000"/>
          <w:sz w:val="28"/>
          <w:szCs w:val="27"/>
          <w:lang w:val="en-US" w:eastAsia="zh-CN"/>
        </w:rPr>
        <w:t>位</w:t>
      </w:r>
      <w:r>
        <w:rPr>
          <w:rFonts w:hint="eastAsia" w:ascii="仿宋" w:hAnsi="仿宋" w:eastAsia="仿宋"/>
          <w:color w:val="000000"/>
          <w:sz w:val="28"/>
          <w:szCs w:val="27"/>
        </w:rPr>
        <w:t>协助业主单位进行信息系统的信息安全等级测评、定级和备案工作，具体内容如下：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5.2.2.1差距测评：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（1）安全技术测评，包括安全物理环境、安全通信网络、安全区域边界、安全计算环境、安全管理中心方面的安全测评。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（2）安全管理测评，包括安全管理制度、安全管理机构、安全管理人员、安全系统建设和安全系统运维五个方面的安全测评。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5.2.2.2汇总差距测评结果并形成整改报告：</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（1）依据差距测评结果，对差距测评结果进行汇总统计，包括测评项符合情况及比例、单元测评结果符合情况比例以及整体测评结果等；</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（2）通过对信息系统基本安全保护状态的分析给出初步测评结论；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（3）根据测评结果制定《系统等级保护测评问题汇总及整改意见报告》，列出被测信息系统中存在的主要问题；</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（4）根据主要问题提出整改意见，制作整改意见报告。</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5.2.2.3根据整改意见报告，协助业主单位完成整改工作，在安全整改全过程提供技术咨询服务；</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5.2.2.4编制《网络安全等级测评报告》；</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5.2.2.5协助业主单位将《网络安全等级测评报告》提交相关部门备案。</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5.2.3在本项目完成后，服务方须提供以下文档资料：</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5.2.3.1《信息系统安全问题汇总及整改建议》；</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default" w:ascii="仿宋" w:hAnsi="仿宋" w:eastAsia="仿宋"/>
          <w:color w:val="000000"/>
          <w:sz w:val="28"/>
          <w:szCs w:val="27"/>
          <w:lang w:val="en-US" w:eastAsia="zh-CN"/>
        </w:rPr>
      </w:pPr>
      <w:r>
        <w:rPr>
          <w:rFonts w:hint="eastAsia" w:ascii="仿宋" w:hAnsi="仿宋" w:eastAsia="仿宋"/>
          <w:color w:val="000000"/>
          <w:sz w:val="28"/>
          <w:szCs w:val="27"/>
          <w:lang w:val="en-US" w:eastAsia="zh-CN"/>
        </w:rPr>
        <w:t>5.2.3.2《网络安全等级保护等级测评报告》及过程资料。</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b w:val="0"/>
          <w:bCs/>
          <w:color w:val="000000"/>
          <w:sz w:val="28"/>
          <w:szCs w:val="27"/>
          <w:lang w:eastAsia="zh-CN"/>
        </w:rPr>
      </w:pPr>
      <w:r>
        <w:rPr>
          <w:rFonts w:hint="eastAsia" w:ascii="仿宋" w:hAnsi="仿宋" w:eastAsia="仿宋"/>
          <w:b w:val="0"/>
          <w:bCs/>
          <w:color w:val="000000"/>
          <w:sz w:val="28"/>
          <w:szCs w:val="27"/>
        </w:rPr>
        <w:t>5.</w:t>
      </w:r>
      <w:r>
        <w:rPr>
          <w:rFonts w:hint="eastAsia" w:ascii="仿宋" w:hAnsi="仿宋" w:eastAsia="仿宋"/>
          <w:b w:val="0"/>
          <w:bCs/>
          <w:color w:val="000000"/>
          <w:sz w:val="28"/>
          <w:szCs w:val="27"/>
          <w:lang w:val="en-US" w:eastAsia="zh-CN"/>
        </w:rPr>
        <w:t>2.4</w:t>
      </w:r>
      <w:r>
        <w:rPr>
          <w:rFonts w:hint="eastAsia" w:ascii="仿宋" w:hAnsi="仿宋" w:eastAsia="仿宋"/>
          <w:b w:val="0"/>
          <w:bCs/>
          <w:color w:val="000000"/>
          <w:sz w:val="28"/>
          <w:szCs w:val="27"/>
        </w:rPr>
        <w:t>测评内容与</w:t>
      </w:r>
      <w:r>
        <w:rPr>
          <w:rFonts w:hint="eastAsia" w:ascii="仿宋" w:hAnsi="仿宋" w:eastAsia="仿宋"/>
          <w:b w:val="0"/>
          <w:bCs/>
          <w:color w:val="000000"/>
          <w:sz w:val="28"/>
          <w:szCs w:val="27"/>
          <w:lang w:val="en-US" w:eastAsia="zh-CN"/>
        </w:rPr>
        <w:t>基本要求</w:t>
      </w:r>
    </w:p>
    <w:tbl>
      <w:tblPr>
        <w:tblStyle w:val="11"/>
        <w:tblW w:w="8522" w:type="dxa"/>
        <w:tblInd w:w="0" w:type="dxa"/>
        <w:tblLayout w:type="fixed"/>
        <w:tblCellMar>
          <w:top w:w="0" w:type="dxa"/>
          <w:left w:w="108" w:type="dxa"/>
          <w:bottom w:w="0" w:type="dxa"/>
          <w:right w:w="108" w:type="dxa"/>
        </w:tblCellMar>
      </w:tblPr>
      <w:tblGrid>
        <w:gridCol w:w="1242"/>
        <w:gridCol w:w="1701"/>
        <w:gridCol w:w="5579"/>
      </w:tblGrid>
      <w:tr>
        <w:tblPrEx>
          <w:tblCellMar>
            <w:top w:w="0" w:type="dxa"/>
            <w:left w:w="108" w:type="dxa"/>
            <w:bottom w:w="0" w:type="dxa"/>
            <w:right w:w="108" w:type="dxa"/>
          </w:tblCellMar>
        </w:tblPrEx>
        <w:trPr>
          <w:trHeight w:val="119" w:hRule="atLeast"/>
          <w:tblHeader/>
        </w:trPr>
        <w:tc>
          <w:tcPr>
            <w:tcW w:w="12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分类</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子类</w:t>
            </w:r>
          </w:p>
        </w:tc>
        <w:tc>
          <w:tcPr>
            <w:tcW w:w="55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宋体"/>
                <w:b w:val="0"/>
                <w:bCs w:val="0"/>
                <w:color w:val="000000"/>
                <w:kern w:val="0"/>
                <w:sz w:val="28"/>
                <w:szCs w:val="28"/>
                <w:lang w:val="en-US" w:eastAsia="zh-CN" w:bidi="ar-SA"/>
              </w:rPr>
            </w:pPr>
            <w:r>
              <w:rPr>
                <w:rFonts w:hint="eastAsia" w:ascii="仿宋" w:hAnsi="仿宋" w:eastAsia="仿宋" w:cs="宋体"/>
                <w:b w:val="0"/>
                <w:bCs w:val="0"/>
                <w:color w:val="000000"/>
                <w:kern w:val="0"/>
                <w:sz w:val="28"/>
                <w:szCs w:val="28"/>
                <w:lang w:val="en-US" w:eastAsia="zh-CN" w:bidi="ar-SA"/>
              </w:rPr>
              <w:t>基本要求</w:t>
            </w:r>
          </w:p>
        </w:tc>
      </w:tr>
      <w:tr>
        <w:tblPrEx>
          <w:tblCellMar>
            <w:top w:w="0" w:type="dxa"/>
            <w:left w:w="108" w:type="dxa"/>
            <w:bottom w:w="0" w:type="dxa"/>
            <w:right w:w="108" w:type="dxa"/>
          </w:tblCellMar>
        </w:tblPrEx>
        <w:trPr>
          <w:trHeight w:val="20" w:hRule="atLeast"/>
        </w:trPr>
        <w:tc>
          <w:tcPr>
            <w:tcW w:w="12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安全物理环境</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物理位置选择</w:t>
            </w:r>
          </w:p>
        </w:tc>
        <w:tc>
          <w:tcPr>
            <w:tcW w:w="5579" w:type="dxa"/>
            <w:tcBorders>
              <w:top w:val="single" w:color="auto" w:sz="4" w:space="0"/>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机房场地应选择在具有防震、防风和防雨等能力的建筑内;</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机房场地应避免设在建筑物的顶层或地下室，否则应加强防水和防潮措施。</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物理访问控制</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机房出入口应配置电子门禁系统，控制、鉴别和记录进入的人员。</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防盗窃和防破坏</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应将设备或主要部件进行固定，并设置明显的不易除去的标识;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应将通信线缆铺设在隐蔽安全处。</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c）应设置机房防盗报警系统或设置有专人值守的视频监控系统。</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防雷击</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应将各类机柜、设施和设备等通过接地系统安全接地。</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应采取措施防止感应雷，例如设置防雷保安器或过压保护装置等。</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防火</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机房应设置火灾自动消防系统，能够自动检测火情、自动报警，并自动灭火;</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机房及相关的工作房间和辅助房应采用具有耐火等级的建筑材料;</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c）应对机房划分区域进行管理，区域和区域之间设置隔离防火措施。</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防水和防潮</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应采取措施防止雨水通过机房窗户、屋顶和墙壁渗透;</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应采取措施防止机房内水蒸气结露和地下积水的转移与渗透;</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c）应安装对水敏感的检测仪表或元件，对机房进行防水检测和报警。</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防静电</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应采用防静电地板或地面并采用必要的接地防静电措施;</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b）应采取措施防止静电的产生，例如采用静电消除器、佩戴防静电手环等。</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温湿度控制</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应设置温湿度自动调节设施，使机房温湿度的变化在设备运行所允许的范围之内。</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电力供应</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应在机房供电线路上配置稳压器和过电压防护设备;</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应提供短期的备用电力供应，至少满足设备在断电情况下的正常运行要求;</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c）应设置冗余或并行的电力电缆线路为计算机系统供电。</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电磁防护</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电源线和通信线缆应隔离铺设，避免互相干扰;</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b）应对关键设备实施电磁屏蔽。</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安全通信网络</w:t>
            </w: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网络架构</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应保证网络设备的业务处理能力满足业务高峰期需要;</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应保证网络各个部分的带宽满足业务高峰期需要;</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应划分不同的网络区域，并按照方便管理和控制的原则为各网络区域分配地址;</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应避免将重要网络区域部署在边界处，重要网络区域与其他网络区域之间应采取可靠的技术隔离手段;</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e) 应提供通信线路、关键网络设备和关键计算设备的硬件冗余，保证系统的可用性。</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通信传输</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应采用校验技术或密码技术保证通信过程中数据的完整性;</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应采用密码技术保证通信过程中数据的保密性。</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可信验证</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可基于可信根对通信设备的系统引导程序、系统程序、重要配置参数和通信应用程序等进行可信验证，应用程序的关键执行环节进行动态可信验证，在检测到其可信性受到破坏后进行报警，并将验证结果形成审计记录送至安全管理中心。</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安全区域边界</w:t>
            </w: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边界防护</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应保证跨越边界的访问和数据流通过边界设备提供的受控接口进行通信;</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应能够对非授权设备私自联到内部网络的行为进行检查或限制;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应能够对内部用户非授权联到外部网络的行为进行检查或限制;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应限制无线网络的使用,保证无线网络通过受控的边界设备接入内部网络。</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访问控制</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应在网络边界或区域之间根据访问控制策略设置访问控制规则，默认情况下除允许通信外受控接口拒绝所有通信;</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应删除多余或无效的访问控制规则，优化访问控制列表，并保证访问控制规则数量最小化;</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应对源地址、目的地址、源端口、目的端口和协议等进行检查，以允许/拒绝数据包进出;</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应能根据会话状态信息为进出数据流提供明确的允许/拒绝访问的能力;</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e) 应对进出网络的数据流实现基于应用协议和应用内容的访问控制。</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入侵防范</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应在关键网络节点处检测、防止或限制从外部发起的网络攻击行为;</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应在关键网络节点处检测、防止或限制从内部发起的网络攻击行为;</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应采取技术措施对网络行为进行分析，实现对网络攻击特别是新型网络攻击行为的分析;</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当检测到攻击行为时，记录攻击源IP、攻击类型、攻击目标、攻击时间，在发生严重入侵事件时应提供报警。</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恶意代码和垃圾邮件防范</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应在关键网络节点处对恶意代码进行检测和清除，并维护恶意代码防护机制的升级和更新;</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应在关键网络节点处对垃圾邮件进行检测和防护，并维护垃圾邮件防护机制的升级和更新。</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安全审计</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应在网络边界、重要网络节点进行安全审计，审计覆盖到每个用户，对重要的用户行为和重要安全事件进行审计;</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审计记录应包括事件的日期和时间、用户、事件类型、事件是否成功及其他与审计相关的信息;</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应对审计记录进行保护，定期备份，避免受到未预期的删除、修改或覆盖等;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应能对远程访问的用户行为、访问互联网的用户行为等单独进行行为审计和数据分析。</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可信验证</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可基于可信根对边界设备的系统引导程序、系统程序、重要配置参数和边界防护应用程序等进行可信验证，并在应用程序的关键执行环节进行动态可信验证，在检测到其可信性受到破坏后进行报警，并将验证结果形成审计记录送至安全管理中心。</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安全计算环境</w:t>
            </w: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身份鉴别</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应对登录的用户进行身份标识和鉴别，身份标识具有唯一性，身份鉴别信息具有复杂度要求并定期更换;</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应具有登录失败处理功能，应配置并启用结束会话、限制非法登录次数和当登录连接超时自动退出等相关措施;</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当进行远程管理时，应采取必要措施防止鉴别信息在网络传输过程中被窃听;</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应采用口令、密码技术、生物技术等两种或两种以上组合的鉴别技术对用户进行身份鉴别，且其中一种鉴别技术至少应使用密码技术来实现。</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访问控制</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应对登录的用户分配账户和权限;</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应重命名或删除默认账户，修改默认账户的默认口令;</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 xml:space="preserve">c) 应及时删除或停用多余的、过期的账户，避免共享账户的存在;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应授予管理用户所需的最小权限，实现管理用户的权限分离;</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e) 应由授权主体配置访问控制策略，访间控制策略规定主体对客体的访问规则;</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f) 访问控制的粒度应达到主体为用户级或进程级，客体为文件、数据库表级;</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g) 应对重要主体和客体设置安全标记，并控制主体对有安全标记信息资源的访问。</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安全审计</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应启用安全审计功能，审计覆盖到每个用户，对重要的用户行为和重要安全事件进行审计;</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审计记录应包括事件的日期和时间、用户、事件类型、事件是否成功及其他与审计相关的信息;</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应对审计记录进行保护，定期备份，避免受到未预期的删除、修改或覆盖等;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d）应对审计进程进行保护，防止未经授权的中断。</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入侵防范</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应遵循最小安装的原则，仅安装需要的组件和应用程序;</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应关闭不需要的系统服务、默认共享和高危端口;</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应通过设定终端接入方式或网络地址范围对通过网络进行管理的管理终端进行限制;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应提供数据有效性检验功能，保证通过人机接口输入或通过通信接口输入的内容符合系统设定要求;</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e) 应能发现可能存在的已知漏洞，并在经过充分测试评估后，及时修补漏洞;</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f) 应能够检测到对重要节点进行入侵的行为，并在发生严重入侵事件时提供报警。</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恶意代码防范</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应采用免受恶意代码攻击的技术措施或主动免疫可信验证机制及时识别入侵和病毒行为，并将其有效阻断。</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可信验证</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可基于可信根对计算设备的系统引导程序、系统程序、重要配置参数和应用程序等进行可信验证， 并在应用程序的关键执行环节进行动态可信验证，在检测到其可信性受到破坏后进行报警，并将验证结果形成审计记录送至安全管理中心。</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数据完整性</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应采用校验技术保证重要数据在传输过程中的完整性，包括但不限于鉴别数据、重要业务数据、重要审计数据、重要配置数据、重要视频数据和重要个人信息等;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应采用校验技术或密码技术保证重要数据在存储过程中的完整性，包括但不限于鉴别数据、重要业务数据、重要审计数据、重要配置数据、重要视频数据和重要个人信息等。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数据保密性</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a）应采用密码技术保证重要数据在传输过程中的保密性，包括但不限于鉴别数据、重要业务数据和重要个人信息等;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b）应采用密码技术保证重要数据在存储过程中的保密性，包括但不限于鉴别数据、重要业务数据和重要个人信息等。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数据备份恢复</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应提供重要数据的本地数据备份与恢复功能;</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应提供异地数据备份功能，利用通信网络将重要数据定时批量传送至备用场地;</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应提供重要数据处理系统的热冗余，保证系统的高可用性。</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剩余信息保护</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a）应保证鉴别信息所在的存储空间被释放或重新分配前得到完全清除;</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b）应保证存有敏感数据的存储空间被释放或重新分配前得到完全清除。</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个人信息保护</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a) 应仅采集和保存业务必需的用户个人信息;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应禁止未授权访问和非法使用用户个人信息。</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安全管理中心</w:t>
            </w: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系统管理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a) 应对系统管理员进行身份鉴别，只允许其通过特定的命令或操作界面进行系统管理操作，并对这些操作进行审计;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应通过系统管理员对系统的资源和运行进行配置、控制和管理，包括用户身份、系统资源配置、系统加载和启动、系统运行的异常处理、数据和设备的备份与恢复等。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审计管理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应对审计管理员进行身份鉴别，只允许其通过特定的命令或操作界面进行安全审计操作，并对这些操作进行审计;</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应通过审计管理员对审计记录进行分析，并根据分析结果进行处理，包括根据安全审计策略对审计记录进行存储、管理和查询等。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a）应对安全管理员进行身份鉴别，只允许其通过特定的命令或操作界面进行安全管理操作，并对这些操作进行审计;</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应通过安全管理员对系统中的安全策略进行配置，包括安全参数的设置，主体、客体进行统一安全标记，对主体进行授权，配置可信验证策略等。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集中管控</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a）应划分出特定的管理区域，对分布在网络中的安全设备或安全组件进行管控;</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应能够建立一条安全的信息传输路径，对网络中的安全设备或安全组件进行管理;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c）应对网络链路、安全设备、网络设备和服务器等的运行状况进行集中监测;</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d）应对分散在各个设备上的审计数据进行收集汇总和集中分析，并保证审计记录的留存时间符合法律法规要求;</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e）应对安全策路、恶意代码、补丁升级等安全相关事项进行集中管理;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f）应能对网络中发生的各类安全事件进行识别、报警和分析。</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安全管理制度</w:t>
            </w: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安全策略</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应制定网络安全工作的总体方针和安全策略，阐明机构安全工作的总体目标、范围、原则和安全框架等。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管理制度</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应对安全管理活动中的主要管理内容建立安全管理制度;</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应对管理人员或操作人员执行的日常管理操作建立操作规程;</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应形成由安全策略、管理制度、操作规程、记录表单等构成的全面的安全管理制度体系。</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制定和发布</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应指定或授权专门的部门或人员负责安全管理制度的制定;</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安全管理制度应通过正式、有效的方式发布，并进行版本控制。</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评审和修订</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应定期对安全管理制度的合理性和适用性进行论证和审定，对存在不足或需要改进的安全管理制度进行修订。</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安全管理机构</w:t>
            </w: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岗位设置</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a）应成立指导和管理网络安全工作的委员会或领导小组，其最高领导由单位主管领导担任或授权;</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b）应设立网络安全管理工作的职能部门，设立安全主管、安全管理各个方面的负责人岗位，并定义各负责人的职责;</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c）应设立系统管理员、审计管理员和安全管理员等岗位，并定义部门及各个工作岗位的职责。</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人员配备</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a）应配备一定数量的系统管理员、审计管理员和安全管理员等;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应配备专职安全管理员，不可兼任。</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授权和审批</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a）应根据各个部门和岗位的职责明确授权审批事项、审批部门和批准人等;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b）应针对系统变更、重要操作、物理访问和系统接入等事项建立审批程序，按照审批程序执行审批过程，对重要活动建立逐级审批制度;</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c）应定期审查审批事项，及时更新需授权和审批的项目、审批部门和审批人等信息。</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沟通和合作</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应加强各类管理人员、组织内部机构和网络安全管理部门之间的合作与沟通，定期召开协调会议，共同协作处理网络安全问题;</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应加强与网络安全职能部门、各类供应商、业界专家及安全组织的合作与沟通;</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应建立外联单位联系列表，包括外联单位名称、合作内容、联系人和联系方式等信息。</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审核和检查</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应定期进行常规安全检查，检查内容包括系统日常运行、系统漏洞和数据备份等情况;</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应定期进行全面安全检查，检查内容包括现有安全技术措施的有效性、安全配置与安全策略的一致性、安全管理制度的执行情况等;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应制定安全检查表格实施安全检查，汇总安全检查数据，形成安全检查报告，并对安全检查结果进行通报。</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安全管理人员</w:t>
            </w: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人员录用</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应指定或授权专门的部门或人员负责人员录用;</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b）应对被录用人员的身份、安全背景、专业资格或资质等进行审查，对其所具有的技术技能进行考核;</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c）应与被录用人员签署保密协议，与关键岗位人员签署岗位责任协议。</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人员离岗</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a）应及时终止离岗人员的所有访问权限，取回各种身份证件、钥匙、徽章等以及机构提供的软硬件设备;</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应办理严格的调离手续，并承诺调离后的保密义务后方可离开。</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安全意识教育和培训</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a）应对各类人员进行安全意识教育和岗位技能培训，并告知相关的安全责任和惩戒措施;</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b）应针对不同岗位制定不同的培训计划，对安全基础知识、岗位操作规程等进行培训;</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c）应定期对不同岗位的人员进行技能考核。</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外部人员访问管理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a) 应在外部人员物理访问受控区域前先提出书面申请，批准后由专人全程陪同，并登记备案;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应在外部人员接入受控网络访问系统前先提出书面申请，批准后由专人开设账户、分配权限，并登记备案;</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外部人员离场后应及时清除其所有的访问权限;</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d）获得系统访问授权的外部人员应签署保密协议，不得进行非授权操作，不得复制和泄露任何敏感信息。</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安全建设管理</w:t>
            </w: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定级和备案</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应以书面的形式说明保护对象的安全保护等级及确定等级的方法和理由;</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 xml:space="preserve">b) 应组织相关部门和有关安全技术专家对定级结果的合理性和正确性进行论证和审定;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应保证定级结果经过相关部门的批准;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应将备案材料报主管部门和相应公安机关备案。</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安全方案设计</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a）应根据安全保护等级选择基本安全措施，依据风险分析的结果补充和调整安全措施;</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b）应根据保护对象的安全保护等级及与其他级别保护对象的关系进行安全整体规划和安全方案设计，设计内容应包含密码技术相关内容，并形成配套文件;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c）应组织相关部门和有关安全专家对安全整体规划及其配套文件的合理性和正确性进行论证和审定，经过批准后才能正式实施。</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产品采购和使用</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应确保网络安全产品采购和使用符合国家的有关规定;</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应确保密码产品与服务的采购和使用符合国家密码管理主管部门的要求;</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c）应预先对产品进行选型测试，确定产品的候选范围，并定期审定和更新候选产品名单。</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自行软件开发</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a）应将开发环境与实际运行环境物理分开，测试数据和测试结果受到控制;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应制定软件开发管理制度，明确说明开发过程的控制方法和人员行为准则;</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c）应制定代码编写安全规范，要求开发人员参照规范编写代码;</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应具备软件设计的相关文档和使用指南，并对文档使用进行控制;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e）应保证在软件开发过程中对安全性进行测试，在软件安装前对可能存在的恶意代码进行检测;</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f) 应对程序资源库的修改、更新、发布进行授权和批准，并严格进行版本控制;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g）应保证开发人员为专职人员、开发人员的开发活动受到控制、监视和审查。</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外包软件开发</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a) 应在软件交付前检测其中可能存在的恶意代码;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应保证开发单位提供软件设计文档和使用指南;</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c）应保证开发单位提供软件源代码，并审查软件中可能存在的后门和隐蔽信道。</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工程实施</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应指定或授权专门的部门或人员负责工程实施过程的管理;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应制定安全工程实施方案控制工程实施过程;</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c）应通过第三方工程监理控制项目的实施过程。</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测试验收</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a) 应制订测试验收方案，并依据测试验收方案实施测试验收，形成测试验收报告;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b）应进行上线前的安全性测试，并出具安全测试报告，安全测试报告应包含密码应用安全性测试相关内容。</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系统交付</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a) 应制定交付清单，并根据交付清单对所交接的设备、软件和文档等进行清点; </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应对负责运行维护的技术人员进行相应的技能培训;</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应提供建设过程文档和运行维护文档。</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等级测评</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应定期进行等级测评，发现不符合相应等级保护标准要求的及时整改;</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应在发生重大变更或级别发生变化时进行等级测评;</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应确保测评机构的选择符合国家有关规定。</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服务供应商选择</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应确保服务供应商的选择符合国家的有关规定;</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应与选定的服务供应商签订相关协议，明确整个服务供应链各方需履行的网络安全相关义务;</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c）应定期监督、评审和审核服务供应商提供的服务，并对其变更服务内容加以控制。</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安全运维管理</w:t>
            </w: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环境管理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应指定专门的部门或人员负责机房安全，对机房出入进行管理，定期对机房供配电、空调、温湿度控制、消防等设施进行维护管理;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b）应建立机房安全管理制度，对有关物理访问、物品带进出和环境安全等方面的管理作出规定;</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应不在重要区域接待来访人员，不随意放置含有敏感信息的纸档文件和移动介质等。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资产管理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应编制并保存与保护对象相关的资产清单，包括资产责任部门、重要程度和所处位置等内容;</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b）应根据资产的重要程度对资产进行标识管理，根据资产的价值选择相应的管理措施;</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c）应对信息分类与标识方法作出规定，并对信息的使用、传输和存储等进行规范化管理。</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介质管理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应将介质存放在安全的环境中，对各类介质进行控制和保护，实行存储环境专人管理，并根据存档介质的目录清单定期盘点;</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应对介质在物理传输过程中的人员选择、打包、交付等情况进行控制，并对介质的归档和查询等进行登记记录。</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设备维护管理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应对各种设备(包括备份和冗余设备)、线路等指定专门的部门或人员定期进行维护管理;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应对配套设施、软硬件维护管理做出规定，包括明确维护人员的责任、维修和服务的审批、维修过程的监督控制等;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c）信息处理设备应经过审批才能带离机房或办公地点，含有存储介质的设备带出工作环境时其中重要数据应加密;</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d）含有存储介质的设备在报废或重用前，应进行完全清除或被安全覆盖，保证该设备上的敏感数据和授权软件无法被恢复重用。</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漏洞和风险管理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应采取必要的措施识别安全漏洞和隐患，对发现的安全漏洞和隐患及时进行修补或评估可能的影响后进行修补;</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b）应定期开展安全测评，形成安全测评报告，采取措施应对发现的安全问题。</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网络和系统安全管理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应划分不同的管理员角色进行网络和系统的运维管理，明确各个角色的责任和权限;</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 应指定专门的部门或人员进行账户管理，对申请账户、建立账户、删除账户等进行控制;</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c) 应建立网络和系统安全管理制度，对安全策略、账户管理、配置管理、日志管理、日常操作、升级与打补丁、口令更新周期等方面作出规定;</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d) 应制定重要设备的配置和操作手册，依据手册对设备进行安全配置和优化配置等;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e) 应详细记录运维操作日志，包括日常巡检工作、运行维护记录、参数的设置和修改等内容;</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f）应指定专门的部门或人员对日志、监测和报警数据等进行分析、统计，及时发现可疑行为;</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g）应严格控制变更性运维，经过审批后才可改变连接、安装系统组件或调整配置参数，操作过程中应保留不可更改的审计日志，操作结束后应同步更新配置信息库;</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h）应严格控制运维工具的使用，经过审批后才可接入进行操作，操作过程中应保留不可更改的审计日志，操作结束后应删除工具中的敏感数据;</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i）应严格控制远程运维的开通，经过审批后才可开通远程运维接口或通道，操作过程中应保留不可更改的审计日志，操作结束后立即关闭接口或通道;</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j）应保证所有与外部的连接均得到授权和批准，应定期检查违反规定无线上网及其他违反网络安全策略的行为。</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恶意代码防范管理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a) 应提高所有用户的防恶意代码意识，对外来计算机或存储设备接入系统前进行恶意代码检查等;</w:t>
            </w:r>
            <w:r>
              <w:rPr>
                <w:rFonts w:hint="eastAsia" w:ascii="仿宋" w:hAnsi="仿宋" w:eastAsia="仿宋"/>
                <w:color w:val="000000"/>
                <w:sz w:val="24"/>
                <w:szCs w:val="24"/>
                <w:lang w:val="en-US" w:eastAsia="zh-CN"/>
              </w:rPr>
              <w:br w:type="textWrapping"/>
            </w:r>
            <w:r>
              <w:rPr>
                <w:rFonts w:hint="eastAsia" w:ascii="仿宋" w:hAnsi="仿宋" w:eastAsia="仿宋"/>
                <w:color w:val="000000"/>
                <w:sz w:val="24"/>
                <w:szCs w:val="24"/>
                <w:lang w:val="en-US" w:eastAsia="zh-CN"/>
              </w:rPr>
              <w:t>b）应定期验证防范恶意代码攻击的技术措施的有效性。</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配置管理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 应记录和保存基本配置信息，包括网络拓扑结构、各个设备安装的软件组件、软件组件的版本和 补丁信息、各个设备或软件组件的配置参数等;</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b) 应将基本配置信息改变纳入变更范畴，实施对配置信息改变的控制，并及时更新基本配置信息库。</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密码管理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 应遵循密码相关国家标准和行业标准;</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b) 应使用国家密码管理主管部门认证核准的密码技术和产品。</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变更管理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a）应明确变更需求，变更前根据变更需求制定变更方案，变更方案经过评审、审批后方可实施;</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b) 应建立变更的申报和审批控制程序，依据程序控制所有的变更，记录变更实施过程;</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c）应建立中止变更并从失败变更中恢复的程序，明确过程控制方法和人员职责，必要时对恢复过程进行演练。</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备份与恢复管理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 应识别需要定期备份的重要业务信息、系统数据及软件系统等;</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b) 应规定备份信息的备份方式、备份频度、存储介质、保存期等;</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c) 应根据数据的重要性和数据对系统运行的影响，制定数据的备份策略和恢复策略、备份程序和恢复程序等。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安全事件处置</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 应及时向安全管理部门报告所发现的安全弱点和可疑事件;</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b) 应制定安全事件报告和处置管理制度，明确不同安全事件的报告、处置和响应流程，规定安全事件的现场处理、事件报告和后期恢复的管理职责等;</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c) 应在安全事件报告和响应处理过程中，分析和鉴定事件产生的原因，收集证据，记录处理过程，总结经验教训;</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d）对造成系统中断和造成信息泄漏的重大安全事件应采用不同的处理程序和报告程序。</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应急预案管理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a）应规定统一的应急预案框架，包括启动预案的条件、应急组织构成、应急资源保障、事后教育和培训等内容;</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b) 应制定重要事件的应急预案，包括应急处理流程、系统恢复流程等内容;</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c）应定期对系统相关的人员进行应急预案培训，并进行应急预案的演练;</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d）应定期对原有的应急预案重新评估，修订完善。</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4"/>
                <w:szCs w:val="24"/>
                <w:lang w:val="en-US" w:eastAsia="zh-CN"/>
              </w:rPr>
            </w:pPr>
          </w:p>
        </w:tc>
        <w:tc>
          <w:tcPr>
            <w:tcW w:w="1701" w:type="dxa"/>
            <w:tcBorders>
              <w:top w:val="nil"/>
              <w:left w:val="nil"/>
              <w:bottom w:val="single" w:color="auto" w:sz="4" w:space="0"/>
              <w:right w:val="single" w:color="auto" w:sz="4" w:space="0"/>
            </w:tcBorders>
            <w:shd w:val="clear" w:color="auto" w:fill="auto"/>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外包运维管理</w:t>
            </w:r>
          </w:p>
        </w:tc>
        <w:tc>
          <w:tcPr>
            <w:tcW w:w="5579" w:type="dxa"/>
            <w:tcBorders>
              <w:top w:val="nil"/>
              <w:left w:val="nil"/>
              <w:bottom w:val="single" w:color="auto" w:sz="4" w:space="0"/>
              <w:right w:val="single" w:color="auto" w:sz="4" w:space="0"/>
            </w:tcBorders>
            <w:shd w:val="clear" w:color="auto" w:fill="auto"/>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 应确保外包运维服务商的选择符合国家的有关规定;</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b) 应与选定的外包运维服务商签订相关的协议，明确约定外包运维的范围、工作内容;</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c）应保证选择的外包运维服务商在技术和管理方面均应具有按照等级保护要求开展安全运维工作的能力，并将能力要求在签订的协议中明确;</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d) 应在与外包运维服务商签订的协议中明确所有相关的安全要求，如可能涉及对敏感信息的访问、处理、存储要求，对IT基础设施中断服务的应急保障要求等。</w:t>
            </w:r>
          </w:p>
        </w:tc>
      </w:tr>
    </w:tbl>
    <w:p>
      <w:pPr>
        <w:pStyle w:val="5"/>
        <w:keepNext w:val="0"/>
        <w:keepLines w:val="0"/>
        <w:pageBreakBefore w:val="0"/>
        <w:kinsoku/>
        <w:wordWrap/>
        <w:overflowPunct/>
        <w:topLinePunct w:val="0"/>
        <w:autoSpaceDE/>
        <w:autoSpaceDN/>
        <w:bidi w:val="0"/>
        <w:adjustRightInd/>
        <w:snapToGrid/>
        <w:spacing w:line="360" w:lineRule="auto"/>
        <w:ind w:firstLine="282" w:firstLineChars="100"/>
        <w:textAlignment w:val="auto"/>
        <w:rPr>
          <w:rFonts w:ascii="仿宋" w:hAnsi="仿宋" w:eastAsia="仿宋" w:cs="仿宋"/>
          <w:b/>
          <w:spacing w:val="1"/>
          <w:sz w:val="28"/>
        </w:rPr>
      </w:pPr>
      <w:r>
        <w:rPr>
          <w:rFonts w:hint="eastAsia" w:ascii="仿宋" w:hAnsi="仿宋" w:eastAsia="仿宋" w:cs="仿宋"/>
          <w:spacing w:val="1"/>
          <w:sz w:val="28"/>
        </w:rPr>
        <w:t>▲</w:t>
      </w:r>
      <w:r>
        <w:rPr>
          <w:rFonts w:hint="eastAsia" w:ascii="仿宋" w:hAnsi="仿宋" w:eastAsia="仿宋" w:cs="仿宋"/>
          <w:b/>
          <w:spacing w:val="1"/>
          <w:sz w:val="28"/>
        </w:rPr>
        <w:t>5.</w:t>
      </w:r>
      <w:r>
        <w:rPr>
          <w:rFonts w:hint="eastAsia" w:ascii="仿宋" w:hAnsi="仿宋" w:eastAsia="仿宋" w:cs="仿宋"/>
          <w:b/>
          <w:spacing w:val="1"/>
          <w:sz w:val="28"/>
          <w:lang w:val="en-US" w:eastAsia="zh-CN"/>
        </w:rPr>
        <w:t>3</w:t>
      </w:r>
      <w:r>
        <w:rPr>
          <w:rFonts w:hint="eastAsia" w:ascii="仿宋" w:hAnsi="仿宋" w:eastAsia="仿宋" w:cs="仿宋"/>
          <w:b/>
          <w:spacing w:val="1"/>
          <w:sz w:val="28"/>
        </w:rPr>
        <w:t xml:space="preserve"> 商务要求</w:t>
      </w:r>
    </w:p>
    <w:p>
      <w:pPr>
        <w:pStyle w:val="5"/>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rPr>
        <w:t>1</w:t>
      </w:r>
      <w:r>
        <w:rPr>
          <w:rFonts w:hint="eastAsia" w:ascii="仿宋" w:hAnsi="仿宋" w:eastAsia="仿宋" w:cs="仿宋"/>
          <w:b/>
          <w:spacing w:val="1"/>
          <w:sz w:val="28"/>
          <w:lang w:val="en-US" w:eastAsia="zh-CN"/>
        </w:rPr>
        <w:t>服务</w:t>
      </w:r>
      <w:r>
        <w:rPr>
          <w:rFonts w:hint="eastAsia" w:ascii="仿宋" w:hAnsi="仿宋" w:eastAsia="仿宋" w:cs="仿宋"/>
          <w:b/>
          <w:spacing w:val="1"/>
          <w:sz w:val="28"/>
        </w:rPr>
        <w:t>期及地点：</w:t>
      </w:r>
    </w:p>
    <w:p>
      <w:pPr>
        <w:pStyle w:val="24"/>
        <w:spacing w:line="360" w:lineRule="auto"/>
        <w:ind w:firstLine="566" w:firstLineChars="200"/>
        <w:jc w:val="left"/>
        <w:rPr>
          <w:rFonts w:hint="eastAsia" w:ascii="仿宋" w:hAnsi="仿宋" w:eastAsia="仿宋" w:cs="仿宋"/>
          <w:spacing w:val="1"/>
          <w:kern w:val="2"/>
          <w:sz w:val="28"/>
          <w:szCs w:val="24"/>
          <w:lang w:val="en-US" w:eastAsia="zh-CN" w:bidi="ar-SA"/>
        </w:rPr>
      </w:pPr>
      <w:r>
        <w:rPr>
          <w:rFonts w:hint="eastAsia" w:ascii="仿宋" w:hAnsi="仿宋" w:eastAsia="仿宋" w:cs="仿宋"/>
          <w:b/>
          <w:spacing w:val="1"/>
          <w:sz w:val="28"/>
        </w:rPr>
        <w:t>5.</w:t>
      </w:r>
      <w:r>
        <w:rPr>
          <w:rFonts w:hint="eastAsia" w:ascii="仿宋" w:hAnsi="仿宋" w:eastAsia="仿宋" w:cs="仿宋"/>
          <w:b/>
          <w:spacing w:val="1"/>
          <w:sz w:val="28"/>
          <w:lang w:val="en-US" w:eastAsia="zh-CN"/>
        </w:rPr>
        <w:t>3</w:t>
      </w:r>
      <w:r>
        <w:rPr>
          <w:rFonts w:hint="eastAsia" w:ascii="仿宋" w:hAnsi="仿宋" w:eastAsia="仿宋" w:cs="仿宋"/>
          <w:b/>
          <w:spacing w:val="1"/>
          <w:sz w:val="28"/>
        </w:rPr>
        <w:t>.</w:t>
      </w:r>
      <w:r>
        <w:rPr>
          <w:rFonts w:ascii="仿宋" w:hAnsi="仿宋" w:eastAsia="仿宋" w:cs="仿宋"/>
          <w:b/>
          <w:spacing w:val="1"/>
          <w:sz w:val="28"/>
        </w:rPr>
        <w:t xml:space="preserve">1.1 </w:t>
      </w:r>
      <w:r>
        <w:rPr>
          <w:rFonts w:hint="eastAsia" w:ascii="仿宋" w:hAnsi="仿宋" w:eastAsia="仿宋" w:cs="仿宋"/>
          <w:b/>
          <w:spacing w:val="1"/>
          <w:sz w:val="28"/>
          <w:lang w:val="en-US" w:eastAsia="zh-CN"/>
        </w:rPr>
        <w:t>服务期限</w:t>
      </w:r>
      <w:r>
        <w:rPr>
          <w:rFonts w:hint="eastAsia" w:ascii="仿宋" w:hAnsi="仿宋" w:eastAsia="仿宋" w:cs="仿宋"/>
          <w:b/>
          <w:spacing w:val="1"/>
          <w:sz w:val="28"/>
        </w:rPr>
        <w:t>：</w:t>
      </w:r>
      <w:r>
        <w:rPr>
          <w:rFonts w:hint="eastAsia" w:ascii="仿宋" w:hAnsi="仿宋" w:eastAsia="仿宋" w:cs="仿宋"/>
          <w:spacing w:val="1"/>
          <w:kern w:val="2"/>
          <w:sz w:val="28"/>
          <w:szCs w:val="24"/>
          <w:lang w:val="en-US" w:eastAsia="zh-CN" w:bidi="ar-SA"/>
        </w:rPr>
        <w:t>合同签订后一周内进场开始测评工作，本项目须于2022年12月31日前完成。</w:t>
      </w:r>
    </w:p>
    <w:p>
      <w:pPr>
        <w:pStyle w:val="6"/>
        <w:spacing w:line="360" w:lineRule="auto"/>
        <w:ind w:firstLine="566" w:firstLineChars="200"/>
        <w:rPr>
          <w:rFonts w:ascii="仿宋" w:hAnsi="仿宋" w:eastAsia="仿宋" w:cs="仿宋"/>
          <w:spacing w:val="1"/>
          <w:sz w:val="28"/>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 xml:space="preserve">.1.2 </w:t>
      </w:r>
      <w:r>
        <w:rPr>
          <w:rFonts w:hint="eastAsia" w:ascii="仿宋" w:hAnsi="仿宋" w:eastAsia="仿宋" w:cs="仿宋"/>
          <w:b/>
          <w:spacing w:val="1"/>
          <w:sz w:val="28"/>
          <w:lang w:val="en-US" w:eastAsia="zh-CN"/>
        </w:rPr>
        <w:t>服务</w:t>
      </w:r>
      <w:r>
        <w:rPr>
          <w:rFonts w:hint="eastAsia" w:ascii="仿宋" w:hAnsi="仿宋" w:eastAsia="仿宋" w:cs="仿宋"/>
          <w:b/>
          <w:spacing w:val="1"/>
          <w:sz w:val="28"/>
        </w:rPr>
        <w:t>地点</w:t>
      </w:r>
      <w:r>
        <w:rPr>
          <w:rFonts w:hint="eastAsia" w:ascii="仿宋" w:hAnsi="仿宋" w:eastAsia="仿宋" w:cs="仿宋"/>
          <w:spacing w:val="1"/>
          <w:sz w:val="28"/>
        </w:rPr>
        <w:t>：采购人指定地点。</w:t>
      </w:r>
    </w:p>
    <w:p>
      <w:pPr>
        <w:pStyle w:val="5"/>
        <w:spacing w:line="360" w:lineRule="auto"/>
        <w:ind w:firstLine="566" w:firstLineChars="200"/>
        <w:rPr>
          <w:rFonts w:hint="default" w:ascii="仿宋" w:hAnsi="仿宋" w:eastAsia="仿宋" w:cs="仿宋"/>
          <w:spacing w:val="1"/>
          <w:sz w:val="28"/>
          <w:highlight w:val="none"/>
          <w:lang w:val="en-US" w:eastAsia="zh-CN"/>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.2.</w:t>
      </w:r>
      <w:r>
        <w:rPr>
          <w:rFonts w:hint="eastAsia" w:ascii="仿宋" w:hAnsi="仿宋" w:eastAsia="仿宋" w:cs="仿宋"/>
          <w:b/>
          <w:spacing w:val="1"/>
          <w:sz w:val="28"/>
        </w:rPr>
        <w:t>付款方式</w:t>
      </w:r>
      <w:r>
        <w:rPr>
          <w:rFonts w:hint="eastAsia" w:ascii="仿宋" w:hAnsi="仿宋" w:eastAsia="仿宋" w:cs="仿宋"/>
          <w:spacing w:val="1"/>
          <w:sz w:val="28"/>
          <w:highlight w:val="none"/>
        </w:rPr>
        <w:t>：</w:t>
      </w:r>
      <w:r>
        <w:rPr>
          <w:rFonts w:hint="eastAsia" w:ascii="仿宋" w:hAnsi="仿宋" w:eastAsia="仿宋" w:cs="仿宋"/>
          <w:spacing w:val="1"/>
          <w:sz w:val="28"/>
          <w:highlight w:val="none"/>
          <w:lang w:val="en-US" w:eastAsia="zh-CN"/>
        </w:rPr>
        <w:t>服务</w:t>
      </w:r>
      <w:r>
        <w:rPr>
          <w:rFonts w:hint="eastAsia" w:ascii="仿宋" w:hAnsi="仿宋" w:eastAsia="仿宋" w:cs="仿宋"/>
          <w:spacing w:val="1"/>
          <w:sz w:val="28"/>
          <w:highlight w:val="none"/>
        </w:rPr>
        <w:t>完成并验收合格后，甲方收到乙方等额发票</w:t>
      </w:r>
      <w:r>
        <w:rPr>
          <w:rFonts w:hint="eastAsia" w:ascii="仿宋" w:hAnsi="仿宋" w:eastAsia="仿宋" w:cs="仿宋"/>
          <w:spacing w:val="1"/>
          <w:sz w:val="28"/>
          <w:highlight w:val="none"/>
          <w:lang w:val="en-US" w:eastAsia="zh-CN"/>
        </w:rPr>
        <w:t>和相关付款资料</w:t>
      </w:r>
      <w:r>
        <w:rPr>
          <w:rFonts w:hint="eastAsia" w:ascii="仿宋" w:hAnsi="仿宋" w:eastAsia="仿宋" w:cs="仿宋"/>
          <w:spacing w:val="1"/>
          <w:sz w:val="28"/>
          <w:highlight w:val="none"/>
        </w:rPr>
        <w:t>后</w:t>
      </w:r>
      <w:r>
        <w:rPr>
          <w:rFonts w:hint="eastAsia" w:ascii="仿宋" w:hAnsi="仿宋" w:eastAsia="仿宋" w:cs="仿宋"/>
          <w:spacing w:val="1"/>
          <w:sz w:val="28"/>
          <w:highlight w:val="none"/>
          <w:lang w:val="en-US" w:eastAsia="zh-CN"/>
        </w:rPr>
        <w:t>30</w:t>
      </w:r>
      <w:r>
        <w:rPr>
          <w:rFonts w:hint="eastAsia" w:ascii="仿宋" w:hAnsi="仿宋" w:eastAsia="仿宋" w:cs="仿宋"/>
          <w:spacing w:val="1"/>
          <w:sz w:val="28"/>
          <w:highlight w:val="none"/>
        </w:rPr>
        <w:t>日内支付</w:t>
      </w:r>
      <w:r>
        <w:rPr>
          <w:rFonts w:hint="eastAsia" w:ascii="仿宋" w:hAnsi="仿宋" w:eastAsia="仿宋" w:cs="仿宋"/>
          <w:spacing w:val="1"/>
          <w:sz w:val="28"/>
          <w:highlight w:val="none"/>
          <w:lang w:val="en-US" w:eastAsia="zh-CN"/>
        </w:rPr>
        <w:t>合同全款</w:t>
      </w:r>
      <w:r>
        <w:rPr>
          <w:rFonts w:hint="eastAsia" w:ascii="仿宋" w:hAnsi="仿宋" w:eastAsia="仿宋" w:cs="仿宋"/>
          <w:spacing w:val="1"/>
          <w:sz w:val="28"/>
          <w:highlight w:val="none"/>
        </w:rPr>
        <w:t>。</w:t>
      </w:r>
      <w:r>
        <w:rPr>
          <w:rFonts w:hint="eastAsia" w:ascii="仿宋" w:hAnsi="仿宋" w:eastAsia="仿宋" w:cs="仿宋"/>
          <w:spacing w:val="1"/>
          <w:sz w:val="28"/>
          <w:highlight w:val="none"/>
          <w:lang w:val="en-US" w:eastAsia="zh-CN"/>
        </w:rPr>
        <w:t>未在规定期限内验收合格，视为项目未通过验收，不予支付相关合同款项。</w:t>
      </w:r>
    </w:p>
    <w:p>
      <w:pPr>
        <w:pStyle w:val="5"/>
        <w:spacing w:line="360" w:lineRule="auto"/>
        <w:ind w:firstLine="566" w:firstLineChars="200"/>
        <w:rPr>
          <w:rFonts w:ascii="仿宋" w:hAnsi="仿宋" w:eastAsia="仿宋" w:cs="仿宋"/>
          <w:spacing w:val="1"/>
          <w:sz w:val="28"/>
        </w:rPr>
      </w:pPr>
      <w:r>
        <w:rPr>
          <w:rFonts w:ascii="仿宋" w:hAnsi="仿宋" w:eastAsia="仿宋" w:cs="仿宋"/>
          <w:b/>
          <w:spacing w:val="1"/>
          <w:sz w:val="28"/>
          <w:highlight w:val="none"/>
        </w:rPr>
        <w:t>5.</w:t>
      </w:r>
      <w:r>
        <w:rPr>
          <w:rFonts w:hint="eastAsia" w:ascii="仿宋" w:hAnsi="仿宋" w:eastAsia="仿宋" w:cs="仿宋"/>
          <w:b/>
          <w:spacing w:val="1"/>
          <w:sz w:val="28"/>
          <w:highlight w:val="none"/>
          <w:lang w:val="en-US" w:eastAsia="zh-CN"/>
        </w:rPr>
        <w:t>3</w:t>
      </w:r>
      <w:r>
        <w:rPr>
          <w:rFonts w:ascii="仿宋" w:hAnsi="仿宋" w:eastAsia="仿宋" w:cs="仿宋"/>
          <w:b/>
          <w:spacing w:val="1"/>
          <w:sz w:val="28"/>
          <w:highlight w:val="none"/>
        </w:rPr>
        <w:t>.</w:t>
      </w:r>
      <w:r>
        <w:rPr>
          <w:rFonts w:hint="eastAsia" w:ascii="仿宋" w:hAnsi="仿宋" w:eastAsia="仿宋" w:cs="仿宋"/>
          <w:b/>
          <w:spacing w:val="1"/>
          <w:sz w:val="28"/>
          <w:highlight w:val="none"/>
        </w:rPr>
        <w:t>3</w:t>
      </w:r>
      <w:r>
        <w:rPr>
          <w:rFonts w:ascii="仿宋" w:hAnsi="仿宋" w:eastAsia="仿宋" w:cs="仿宋"/>
          <w:b/>
          <w:spacing w:val="1"/>
          <w:sz w:val="28"/>
          <w:highlight w:val="none"/>
        </w:rPr>
        <w:t>.</w:t>
      </w:r>
      <w:r>
        <w:rPr>
          <w:rFonts w:hint="eastAsia" w:ascii="仿宋" w:hAnsi="仿宋" w:eastAsia="仿宋" w:cs="仿宋"/>
          <w:b/>
          <w:spacing w:val="1"/>
          <w:sz w:val="28"/>
          <w:highlight w:val="none"/>
        </w:rPr>
        <w:t>履约保障金：</w:t>
      </w:r>
      <w:r>
        <w:rPr>
          <w:rFonts w:hint="eastAsia" w:ascii="仿宋" w:hAnsi="仿宋" w:eastAsia="仿宋" w:cs="仿宋"/>
          <w:spacing w:val="1"/>
          <w:sz w:val="28"/>
          <w:highlight w:val="none"/>
          <w:lang w:val="en-US" w:eastAsia="zh-CN"/>
        </w:rPr>
        <w:t>无</w:t>
      </w:r>
      <w:r>
        <w:rPr>
          <w:rFonts w:hint="eastAsia" w:ascii="仿宋" w:hAnsi="仿宋" w:eastAsia="仿宋" w:cs="仿宋"/>
          <w:spacing w:val="1"/>
          <w:sz w:val="28"/>
        </w:rPr>
        <w:t>。</w:t>
      </w:r>
    </w:p>
    <w:p>
      <w:pPr>
        <w:pStyle w:val="5"/>
        <w:spacing w:line="360" w:lineRule="auto"/>
        <w:ind w:firstLine="566" w:firstLineChars="200"/>
        <w:rPr>
          <w:rFonts w:hint="eastAsia" w:asciiTheme="minorEastAsia" w:hAnsiTheme="minorEastAsia" w:eastAsiaTheme="minorEastAsia" w:cstheme="minorEastAsia"/>
          <w:sz w:val="24"/>
          <w:szCs w:val="24"/>
          <w:shd w:val="clear" w:color="auto" w:fill="FFFFFF"/>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lang w:val="en-US" w:eastAsia="zh-CN"/>
        </w:rPr>
        <w:t>4</w:t>
      </w:r>
      <w:r>
        <w:rPr>
          <w:rFonts w:hint="eastAsia" w:ascii="仿宋" w:hAnsi="仿宋" w:eastAsia="仿宋" w:cs="仿宋"/>
          <w:b/>
          <w:spacing w:val="1"/>
          <w:sz w:val="28"/>
        </w:rPr>
        <w:t>验收标准：</w:t>
      </w:r>
      <w:r>
        <w:rPr>
          <w:rFonts w:hint="eastAsia" w:ascii="仿宋" w:hAnsi="仿宋" w:eastAsia="仿宋" w:cs="仿宋"/>
          <w:spacing w:val="1"/>
          <w:kern w:val="2"/>
          <w:sz w:val="28"/>
          <w:szCs w:val="24"/>
          <w:lang w:val="en-US" w:eastAsia="zh-CN" w:bidi="ar-SA"/>
        </w:rPr>
        <w:t>按国家有关规定、《财政部关于进一步加强政府采购需求和履行验收管理的指导意见》（财库〔2016〕205号）文件、招标文件要求、投标人的投标文件及有关承诺以及合同约定标准进行验收。本项目主要预期成果为“四川省严重精神障碍综合管理信息系统”通过等级保护测评（三级），在2022年12月31日前取得符合要求的《信息系统安全等级保护备案证明》即可视为验收合</w:t>
      </w:r>
      <w:r>
        <w:rPr>
          <w:rFonts w:hint="eastAsia" w:asciiTheme="minorEastAsia" w:hAnsiTheme="minorEastAsia" w:eastAsiaTheme="minorEastAsia" w:cstheme="minorEastAsia"/>
          <w:sz w:val="24"/>
          <w:szCs w:val="24"/>
          <w:shd w:val="clear" w:color="auto" w:fill="FFFFFF"/>
        </w:rPr>
        <w:t>格。</w:t>
      </w:r>
    </w:p>
    <w:p>
      <w:pPr>
        <w:pStyle w:val="6"/>
        <w:ind w:left="0" w:leftChars="0" w:firstLine="566" w:firstLineChars="200"/>
        <w:rPr>
          <w:rFonts w:hint="eastAsia" w:ascii="仿宋" w:hAnsi="仿宋" w:eastAsia="仿宋" w:cs="仿宋"/>
          <w:spacing w:val="1"/>
          <w:kern w:val="2"/>
          <w:sz w:val="28"/>
          <w:szCs w:val="24"/>
          <w:lang w:val="en-US" w:eastAsia="zh-CN" w:bidi="ar-SA"/>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lang w:val="en-US" w:eastAsia="zh-CN"/>
        </w:rPr>
        <w:t>5</w:t>
      </w:r>
      <w:r>
        <w:rPr>
          <w:rFonts w:hint="eastAsia" w:asciiTheme="minorEastAsia" w:hAnsiTheme="minorEastAsia" w:eastAsiaTheme="minorEastAsia" w:cstheme="minorEastAsia"/>
          <w:sz w:val="24"/>
          <w:szCs w:val="24"/>
          <w:shd w:val="clear" w:color="auto" w:fill="FFFFFF"/>
        </w:rPr>
        <w:t xml:space="preserve"> </w:t>
      </w:r>
      <w:r>
        <w:rPr>
          <w:rFonts w:hint="eastAsia" w:ascii="仿宋" w:hAnsi="仿宋" w:eastAsia="仿宋" w:cs="仿宋"/>
          <w:b/>
          <w:spacing w:val="1"/>
          <w:sz w:val="28"/>
        </w:rPr>
        <w:t>培训要求：</w:t>
      </w:r>
      <w:r>
        <w:rPr>
          <w:rFonts w:hint="eastAsia" w:ascii="仿宋" w:hAnsi="仿宋" w:eastAsia="仿宋" w:cs="仿宋"/>
          <w:spacing w:val="1"/>
          <w:kern w:val="2"/>
          <w:sz w:val="28"/>
          <w:szCs w:val="24"/>
          <w:lang w:val="en-US" w:eastAsia="zh-CN" w:bidi="ar-SA"/>
        </w:rPr>
        <w:t>投标人结合本项目及招标人实际需要，提供技术培训方案。</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6" w:firstLineChars="200"/>
        <w:textAlignment w:val="auto"/>
        <w:rPr>
          <w:rFonts w:hint="eastAsia" w:ascii="仿宋" w:hAnsi="仿宋" w:eastAsia="仿宋"/>
          <w:color w:val="000000"/>
          <w:sz w:val="28"/>
          <w:szCs w:val="27"/>
          <w:lang w:val="en-US" w:eastAsia="zh-CN"/>
        </w:rPr>
      </w:pPr>
      <w:r>
        <w:rPr>
          <w:rFonts w:hint="eastAsia" w:ascii="仿宋" w:hAnsi="仿宋" w:eastAsia="仿宋" w:cs="仿宋"/>
          <w:b/>
          <w:spacing w:val="1"/>
          <w:kern w:val="2"/>
          <w:sz w:val="28"/>
          <w:szCs w:val="24"/>
          <w:lang w:val="en-US" w:eastAsia="zh-CN" w:bidi="ar-SA"/>
        </w:rPr>
        <w:t>5.3.6 需满足的技术标准和规范：</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5.3.6.1《中华人民共和国计算机信息系统安全保护条例》(国务院令147号)</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5.3.6.2《信息安全等级保护管理办法》（公通字[2007]43号</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5.3.6.3《计算机信息系统安全保护等级划分准则》（GB17859-1999）</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5.3.6.4《信息安全技术网络安全等级保护定级指南》（GB/T22240-2020）</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5.3.6.5《信息安全技术网络安全等级保护基本要求》（GB/T22239-2019)</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5.3.6.6《信息安全技术网络安全等级保护测评要求》（GB/T28448-2019）</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5.3.6.7《信息安全技术网络安全等级保护测评过程指南》（GB/T28449-2018）</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5.3.6.8《信息安全技术网络安全等级保护实施指南》（GB/T 25058-2019）</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5.3.6.9《信息安全技术信息安全风险评估规范》（GB/T20984-2015）</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5.3.6.10《中华人民共和国网络安全法》</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6" w:firstLineChars="200"/>
        <w:textAlignment w:val="auto"/>
        <w:rPr>
          <w:rFonts w:hint="eastAsia" w:ascii="仿宋" w:hAnsi="仿宋" w:eastAsia="仿宋"/>
          <w:color w:val="000000"/>
          <w:sz w:val="28"/>
          <w:szCs w:val="27"/>
          <w:lang w:val="en-US" w:eastAsia="zh-CN"/>
        </w:rPr>
      </w:pPr>
      <w:r>
        <w:rPr>
          <w:rFonts w:hint="eastAsia" w:ascii="仿宋" w:hAnsi="仿宋" w:eastAsia="仿宋" w:cs="仿宋"/>
          <w:b/>
          <w:spacing w:val="1"/>
          <w:kern w:val="2"/>
          <w:sz w:val="28"/>
          <w:szCs w:val="24"/>
          <w:lang w:val="en-US" w:eastAsia="zh-CN" w:bidi="ar-SA"/>
        </w:rPr>
        <w:t>5.3.7 需遵守的技术原则：</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5.3.7.1保密原则：对测评的过程数据和结果数据严格保密，未经授权不得泄露给任何单位和个人，不得利用此数据进行任何侵害采购方的行为，否则采购方有权追究供应商的责任。</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5.3.7.2标准性原则：测评方案的设计与实施应依据国家等级保护的相关标准进行。</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5.3.7.3规范性原则：供应商的工作中的过程和文档，具有很好的规范性，可以便于项目的跟踪和控制，测评出具的报告须符合公安部颁布的《信息系统安全等级测评报告模板》。</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5.3.7.4可控性原则：等保测评服务的进度要按照招标文件 的要求，保证采购方对于测评工作的可控性。</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5.3.7.5整体性原则：等保测评服务的范围和内容应当整体全面，包括国家等级保护相关要求测评要求涉及的各个层面。</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5.3.7.6安全性原则：等保测评服务工作应不得影响系统和网络的正常运行；测评工作不得对现有信息系统的正常运行、业务的正常开展产生任何影响。</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5.3.7.7测评机构资质及人员要求：</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（1）从事信息系统检测评估相关工作人员无违法记录；</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（2）工作人员仅限于中华人民共和国境内的中国公民，且无犯罪记录；</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ind w:firstLine="560" w:firstLineChars="200"/>
        <w:textAlignment w:val="auto"/>
        <w:rPr>
          <w:rFonts w:hint="eastAsia" w:asciiTheme="minorEastAsia" w:hAnsiTheme="minorEastAsia" w:eastAsiaTheme="minorEastAsia" w:cstheme="minorEastAsia"/>
          <w:sz w:val="24"/>
          <w:szCs w:val="24"/>
          <w:shd w:val="clear" w:color="auto" w:fill="FFFFFF"/>
        </w:rPr>
      </w:pPr>
      <w:r>
        <w:rPr>
          <w:rFonts w:hint="eastAsia" w:ascii="仿宋" w:hAnsi="仿宋" w:eastAsia="仿宋"/>
          <w:color w:val="000000"/>
          <w:sz w:val="28"/>
          <w:szCs w:val="27"/>
          <w:lang w:val="en-US" w:eastAsia="zh-CN"/>
        </w:rPr>
        <w:t>（3）测评期间需遵守被测单位相关管理规定，禁止利用测评工作从事危害被测单位利益、安全的活动。</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1"/>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42"/>
        <w:gridCol w:w="850"/>
        <w:gridCol w:w="269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342"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评分因素</w:t>
            </w:r>
          </w:p>
        </w:tc>
        <w:tc>
          <w:tcPr>
            <w:tcW w:w="85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权重</w:t>
            </w:r>
          </w:p>
        </w:tc>
        <w:tc>
          <w:tcPr>
            <w:tcW w:w="2693"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评分标准</w:t>
            </w:r>
          </w:p>
        </w:tc>
        <w:tc>
          <w:tcPr>
            <w:tcW w:w="2127" w:type="dxa"/>
            <w:vAlign w:val="center"/>
          </w:tcPr>
          <w:p>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报价</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lang w:val="en-US" w:eastAsia="zh-CN"/>
              </w:rPr>
              <w:t>30</w:t>
            </w:r>
            <w:r>
              <w:rPr>
                <w:rFonts w:hint="eastAsia" w:ascii="仿宋" w:hAnsi="仿宋" w:eastAsia="仿宋" w:cs="仿宋"/>
                <w:sz w:val="24"/>
              </w:rPr>
              <w:t>%</w:t>
            </w:r>
          </w:p>
        </w:tc>
        <w:tc>
          <w:tcPr>
            <w:tcW w:w="2693" w:type="dxa"/>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以满足招标文件要求且投标价格最低的投标报价作为基准价，其余投标报价得分=（基准价／投标报价）×权重×100。</w:t>
            </w:r>
          </w:p>
        </w:tc>
        <w:tc>
          <w:tcPr>
            <w:tcW w:w="2127" w:type="dxa"/>
            <w:vAlign w:val="center"/>
          </w:tcPr>
          <w:p>
            <w:pPr>
              <w:spacing w:line="360" w:lineRule="auto"/>
              <w:ind w:left="-38"/>
              <w:rPr>
                <w:rFonts w:ascii="仿宋" w:hAnsi="仿宋" w:eastAsia="仿宋" w:cs="仿宋"/>
                <w:color w:val="000000" w:themeColor="text1"/>
                <w:sz w:val="24"/>
                <w14:textFill>
                  <w14:solidFill>
                    <w14:schemeClr w14:val="tx1"/>
                  </w14:solidFill>
                </w14:textFill>
              </w:rPr>
            </w:pPr>
            <w:r>
              <w:rPr>
                <w:rFonts w:hint="eastAsia" w:ascii="仿宋" w:hAnsi="仿宋" w:eastAsia="仿宋" w:cs="仿宋"/>
                <w:kern w:val="0"/>
                <w:sz w:val="24"/>
              </w:rPr>
              <w:t>以投标人的报价文件为准。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2</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测评方案（技术评分因素）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lang w:val="en-US" w:eastAsia="zh-CN"/>
              </w:rPr>
              <w:t>21</w:t>
            </w:r>
            <w:r>
              <w:rPr>
                <w:rFonts w:hint="eastAsia" w:ascii="仿宋" w:hAnsi="仿宋" w:eastAsia="仿宋" w:cs="仿宋"/>
                <w:sz w:val="24"/>
              </w:rPr>
              <w:t>%</w:t>
            </w:r>
          </w:p>
        </w:tc>
        <w:tc>
          <w:tcPr>
            <w:tcW w:w="2693" w:type="dxa"/>
            <w:vAlign w:val="center"/>
          </w:tcPr>
          <w:p>
            <w:pPr>
              <w:spacing w:line="360" w:lineRule="auto"/>
              <w:rPr>
                <w:rFonts w:hint="eastAsia" w:ascii="仿宋" w:hAnsi="仿宋" w:eastAsia="仿宋" w:cs="仿宋"/>
                <w:sz w:val="24"/>
              </w:rPr>
            </w:pPr>
            <w:r>
              <w:rPr>
                <w:rFonts w:hint="eastAsia" w:ascii="仿宋" w:hAnsi="仿宋" w:eastAsia="仿宋" w:cs="仿宋"/>
                <w:sz w:val="24"/>
              </w:rPr>
              <w:t>1.对等级保护测评及优化方案的完整性、可行性、先进性和合理性进行综合评分，优秀的得</w:t>
            </w:r>
            <w:r>
              <w:rPr>
                <w:rFonts w:hint="eastAsia" w:ascii="仿宋" w:hAnsi="仿宋" w:eastAsia="仿宋" w:cs="仿宋"/>
                <w:sz w:val="24"/>
                <w:lang w:val="en-US" w:eastAsia="zh-CN"/>
              </w:rPr>
              <w:t>12</w:t>
            </w:r>
            <w:r>
              <w:rPr>
                <w:rFonts w:hint="eastAsia" w:ascii="仿宋" w:hAnsi="仿宋" w:eastAsia="仿宋" w:cs="仿宋"/>
                <w:sz w:val="24"/>
              </w:rPr>
              <w:t>分，良好的</w:t>
            </w:r>
            <w:r>
              <w:rPr>
                <w:rFonts w:hint="eastAsia" w:ascii="仿宋" w:hAnsi="仿宋" w:eastAsia="仿宋" w:cs="仿宋"/>
                <w:sz w:val="24"/>
                <w:lang w:val="en-US" w:eastAsia="zh-CN"/>
              </w:rPr>
              <w:t>6</w:t>
            </w:r>
            <w:r>
              <w:rPr>
                <w:rFonts w:hint="eastAsia" w:ascii="仿宋" w:hAnsi="仿宋" w:eastAsia="仿宋" w:cs="仿宋"/>
                <w:sz w:val="24"/>
              </w:rPr>
              <w:t>分、一般的得</w:t>
            </w:r>
            <w:r>
              <w:rPr>
                <w:rFonts w:hint="eastAsia" w:ascii="仿宋" w:hAnsi="仿宋" w:eastAsia="仿宋" w:cs="仿宋"/>
                <w:sz w:val="24"/>
                <w:lang w:val="en-US" w:eastAsia="zh-CN"/>
              </w:rPr>
              <w:t>3</w:t>
            </w:r>
            <w:r>
              <w:rPr>
                <w:rFonts w:hint="eastAsia" w:ascii="仿宋" w:hAnsi="仿宋" w:eastAsia="仿宋" w:cs="仿宋"/>
                <w:sz w:val="24"/>
              </w:rPr>
              <w:t>分，其他不得分。</w:t>
            </w:r>
          </w:p>
          <w:p>
            <w:pPr>
              <w:spacing w:line="360" w:lineRule="auto"/>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rPr>
              <w:t>2.对本项目的理解及建议、组织管理的合理性、测评计划安排的完整性综合评分，优秀的得</w:t>
            </w:r>
            <w:r>
              <w:rPr>
                <w:rFonts w:hint="eastAsia" w:ascii="仿宋" w:hAnsi="仿宋" w:eastAsia="仿宋" w:cs="仿宋"/>
                <w:sz w:val="24"/>
                <w:lang w:val="en-US" w:eastAsia="zh-CN"/>
              </w:rPr>
              <w:t>9</w:t>
            </w:r>
            <w:r>
              <w:rPr>
                <w:rFonts w:hint="eastAsia" w:ascii="仿宋" w:hAnsi="仿宋" w:eastAsia="仿宋" w:cs="仿宋"/>
                <w:sz w:val="24"/>
              </w:rPr>
              <w:t>分，良好的得</w:t>
            </w:r>
            <w:r>
              <w:rPr>
                <w:rFonts w:hint="eastAsia" w:ascii="仿宋" w:hAnsi="仿宋" w:eastAsia="仿宋" w:cs="仿宋"/>
                <w:sz w:val="24"/>
                <w:lang w:val="en-US" w:eastAsia="zh-CN"/>
              </w:rPr>
              <w:t>5</w:t>
            </w:r>
            <w:r>
              <w:rPr>
                <w:rFonts w:hint="eastAsia" w:ascii="仿宋" w:hAnsi="仿宋" w:eastAsia="仿宋" w:cs="仿宋"/>
                <w:sz w:val="24"/>
              </w:rPr>
              <w:t>分，一般的</w:t>
            </w:r>
            <w:r>
              <w:rPr>
                <w:rFonts w:hint="eastAsia" w:ascii="仿宋" w:hAnsi="仿宋" w:eastAsia="仿宋" w:cs="仿宋"/>
                <w:sz w:val="24"/>
                <w:lang w:val="en-US" w:eastAsia="zh-CN"/>
              </w:rPr>
              <w:t>2</w:t>
            </w:r>
            <w:r>
              <w:rPr>
                <w:rFonts w:hint="eastAsia" w:ascii="仿宋" w:hAnsi="仿宋" w:eastAsia="仿宋" w:cs="仿宋"/>
                <w:sz w:val="24"/>
              </w:rPr>
              <w:t>分，其他不得分。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lang w:val="en-US" w:eastAsia="zh-CN"/>
              </w:rPr>
              <w:t>企业资质及服务支撑</w:t>
            </w:r>
            <w:r>
              <w:rPr>
                <w:rFonts w:hint="eastAsia" w:ascii="仿宋" w:hAnsi="仿宋" w:eastAsia="仿宋" w:cs="仿宋"/>
                <w:sz w:val="24"/>
              </w:rPr>
              <w:t>（</w:t>
            </w:r>
            <w:r>
              <w:rPr>
                <w:rFonts w:hint="eastAsia" w:ascii="仿宋" w:hAnsi="仿宋" w:eastAsia="仿宋" w:cs="仿宋"/>
                <w:sz w:val="24"/>
                <w:lang w:val="en-US" w:eastAsia="zh-CN"/>
              </w:rPr>
              <w:t>共同</w:t>
            </w:r>
            <w:r>
              <w:rPr>
                <w:rFonts w:hint="eastAsia" w:ascii="仿宋" w:hAnsi="仿宋" w:eastAsia="仿宋" w:cs="仿宋"/>
                <w:sz w:val="24"/>
              </w:rPr>
              <w:t>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lang w:val="en-US" w:eastAsia="zh-CN"/>
              </w:rPr>
              <w:t>13</w:t>
            </w:r>
            <w:r>
              <w:rPr>
                <w:rFonts w:hint="eastAsia" w:ascii="仿宋" w:hAnsi="仿宋" w:eastAsia="仿宋" w:cs="仿宋"/>
                <w:sz w:val="24"/>
              </w:rPr>
              <w:t>%</w:t>
            </w:r>
          </w:p>
        </w:tc>
        <w:tc>
          <w:tcPr>
            <w:tcW w:w="2693" w:type="dxa"/>
            <w:vAlign w:val="center"/>
          </w:tcPr>
          <w:p>
            <w:pPr>
              <w:widowControl/>
              <w:spacing w:line="360" w:lineRule="auto"/>
              <w:jc w:val="left"/>
              <w:rPr>
                <w:rFonts w:hint="eastAsia" w:ascii="仿宋" w:hAnsi="仿宋" w:eastAsia="仿宋" w:cs="仿宋"/>
                <w:sz w:val="24"/>
              </w:rPr>
            </w:pPr>
            <w:r>
              <w:rPr>
                <w:rFonts w:hint="eastAsia" w:ascii="仿宋" w:hAnsi="仿宋" w:eastAsia="仿宋" w:cs="仿宋"/>
                <w:sz w:val="24"/>
              </w:rPr>
              <w:t>1.投标人通过ISO 9001质量体系认证，且认证范围包括“信息安全等级保护测试评估服务”得1分；</w:t>
            </w:r>
          </w:p>
          <w:p>
            <w:pPr>
              <w:widowControl/>
              <w:spacing w:line="360" w:lineRule="auto"/>
              <w:jc w:val="left"/>
              <w:rPr>
                <w:rFonts w:hint="eastAsia" w:ascii="仿宋" w:hAnsi="仿宋" w:eastAsia="仿宋" w:cs="仿宋"/>
                <w:sz w:val="24"/>
              </w:rPr>
            </w:pPr>
            <w:r>
              <w:rPr>
                <w:rFonts w:hint="eastAsia" w:ascii="仿宋" w:hAnsi="仿宋" w:eastAsia="仿宋" w:cs="仿宋"/>
                <w:sz w:val="24"/>
              </w:rPr>
              <w:t>2.投标人通过ISO 27001信息安全管理系统认证，且认证范围包括“信息安全等级保护测试评估服务”得2分；</w:t>
            </w:r>
          </w:p>
          <w:p>
            <w:pPr>
              <w:widowControl/>
              <w:spacing w:line="360" w:lineRule="auto"/>
              <w:jc w:val="left"/>
              <w:rPr>
                <w:rFonts w:hint="eastAsia" w:ascii="仿宋" w:hAnsi="仿宋" w:eastAsia="仿宋" w:cs="仿宋"/>
                <w:sz w:val="24"/>
              </w:rPr>
            </w:pPr>
            <w:r>
              <w:rPr>
                <w:rFonts w:hint="eastAsia" w:ascii="仿宋" w:hAnsi="仿宋" w:eastAsia="仿宋" w:cs="仿宋"/>
                <w:sz w:val="24"/>
              </w:rPr>
              <w:t>3.投标人通过ISO 14001环境管理体系认证，且认证范围包括“信息安全等级保护测试评估服务”得2分；</w:t>
            </w:r>
          </w:p>
          <w:p>
            <w:pPr>
              <w:widowControl/>
              <w:spacing w:line="360" w:lineRule="auto"/>
              <w:jc w:val="left"/>
              <w:rPr>
                <w:rFonts w:hint="eastAsia" w:ascii="仿宋" w:hAnsi="仿宋" w:eastAsia="仿宋" w:cs="仿宋"/>
                <w:sz w:val="24"/>
              </w:rPr>
            </w:pPr>
            <w:r>
              <w:rPr>
                <w:rFonts w:hint="eastAsia" w:ascii="仿宋" w:hAnsi="仿宋" w:eastAsia="仿宋" w:cs="仿宋"/>
                <w:sz w:val="24"/>
              </w:rPr>
              <w:t>4.投标人通过OHSAS 18001职业健康安全管理系统认证，且认证范围包括“信息安全等级保护测试评估服务”得2分；</w:t>
            </w:r>
          </w:p>
          <w:p>
            <w:pPr>
              <w:widowControl/>
              <w:spacing w:line="360" w:lineRule="auto"/>
              <w:jc w:val="left"/>
              <w:rPr>
                <w:rFonts w:hint="eastAsia" w:ascii="仿宋" w:hAnsi="仿宋" w:eastAsia="仿宋" w:cs="仿宋"/>
                <w:sz w:val="24"/>
              </w:rPr>
            </w:pPr>
            <w:r>
              <w:rPr>
                <w:rFonts w:hint="eastAsia" w:ascii="仿宋" w:hAnsi="仿宋" w:eastAsia="仿宋" w:cs="仿宋"/>
                <w:sz w:val="24"/>
              </w:rPr>
              <w:t>5.投标人具有AAA信用认证，得1分；</w:t>
            </w:r>
          </w:p>
          <w:p>
            <w:pPr>
              <w:widowControl/>
              <w:spacing w:line="360" w:lineRule="auto"/>
              <w:jc w:val="left"/>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rPr>
              <w:t>6.投标人提供24小时400/800服务热线支持电话得5分（提供开通证明材料和近一个月不少于20条有效通话记录）。</w:t>
            </w:r>
          </w:p>
        </w:tc>
        <w:tc>
          <w:tcPr>
            <w:tcW w:w="2127" w:type="dxa"/>
            <w:vAlign w:val="center"/>
          </w:tcPr>
          <w:p>
            <w:pPr>
              <w:widowControl/>
              <w:spacing w:line="360" w:lineRule="auto"/>
              <w:jc w:val="left"/>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sz w:val="24"/>
              </w:rPr>
              <w:t>资质或资格证书加盖投标人公章</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4</w:t>
            </w:r>
          </w:p>
        </w:tc>
        <w:tc>
          <w:tcPr>
            <w:tcW w:w="1342" w:type="dxa"/>
            <w:vAlign w:val="center"/>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履约能力（共同评分因素）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lang w:val="en-US" w:eastAsia="zh-CN"/>
              </w:rPr>
              <w:t>26</w:t>
            </w:r>
            <w:r>
              <w:rPr>
                <w:rFonts w:hint="eastAsia" w:ascii="仿宋" w:hAnsi="仿宋" w:eastAsia="仿宋" w:cs="仿宋"/>
                <w:sz w:val="24"/>
              </w:rPr>
              <w:t>%</w:t>
            </w:r>
          </w:p>
        </w:tc>
        <w:tc>
          <w:tcPr>
            <w:tcW w:w="2693" w:type="dxa"/>
            <w:vAlign w:val="center"/>
          </w:tcPr>
          <w:p>
            <w:pPr>
              <w:widowControl/>
              <w:spacing w:line="360" w:lineRule="auto"/>
              <w:jc w:val="left"/>
              <w:rPr>
                <w:rFonts w:hint="eastAsia" w:ascii="仿宋" w:hAnsi="仿宋" w:eastAsia="仿宋" w:cs="仿宋"/>
                <w:sz w:val="24"/>
              </w:rPr>
            </w:pPr>
            <w:r>
              <w:rPr>
                <w:rFonts w:hint="eastAsia" w:ascii="仿宋" w:hAnsi="仿宋" w:eastAsia="仿宋" w:cs="仿宋"/>
                <w:sz w:val="24"/>
              </w:rPr>
              <w:t>1.项目组负责人具有以下资格的：</w:t>
            </w: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项目负责人具有信息安全等级测评师高级及以上证书的得</w:t>
            </w:r>
            <w:r>
              <w:rPr>
                <w:rFonts w:hint="eastAsia" w:ascii="仿宋" w:hAnsi="仿宋" w:eastAsia="仿宋" w:cs="仿宋"/>
                <w:sz w:val="24"/>
                <w:lang w:val="en-US" w:eastAsia="zh-CN"/>
              </w:rPr>
              <w:t>4</w:t>
            </w:r>
            <w:r>
              <w:rPr>
                <w:rFonts w:hint="eastAsia" w:ascii="仿宋" w:hAnsi="仿宋" w:eastAsia="仿宋" w:cs="仿宋"/>
                <w:sz w:val="24"/>
              </w:rPr>
              <w:t>分，其它不得分，此项最多得</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项目负责人同时具有互联网安全评估师高级证书（CIISA）、信息安全工程师证书（软考类）、国际软件测试工程师（ISTQB）证书、商用密码应用安全性评估人员能力合格证书、注册云安全系统认证专家（CCSSP）证书的，每满足一个得</w:t>
            </w:r>
            <w:r>
              <w:rPr>
                <w:rFonts w:hint="eastAsia" w:ascii="仿宋" w:hAnsi="仿宋" w:eastAsia="仿宋" w:cs="仿宋"/>
                <w:sz w:val="24"/>
                <w:lang w:val="en-US" w:eastAsia="zh-CN"/>
              </w:rPr>
              <w:t>2</w:t>
            </w:r>
            <w:r>
              <w:rPr>
                <w:rFonts w:hint="eastAsia" w:ascii="仿宋" w:hAnsi="仿宋" w:eastAsia="仿宋" w:cs="仿宋"/>
                <w:sz w:val="24"/>
              </w:rPr>
              <w:t>分，此项最多得</w:t>
            </w:r>
            <w:r>
              <w:rPr>
                <w:rFonts w:hint="eastAsia" w:ascii="仿宋" w:hAnsi="仿宋" w:eastAsia="仿宋" w:cs="仿宋"/>
                <w:sz w:val="24"/>
                <w:lang w:val="en-US" w:eastAsia="zh-CN"/>
              </w:rPr>
              <w:t>1</w:t>
            </w:r>
            <w:r>
              <w:rPr>
                <w:rFonts w:hint="eastAsia" w:ascii="仿宋" w:hAnsi="仿宋" w:eastAsia="仿宋" w:cs="仿宋"/>
                <w:sz w:val="24"/>
              </w:rPr>
              <w:t>0分；</w:t>
            </w:r>
          </w:p>
          <w:p>
            <w:pPr>
              <w:widowControl/>
              <w:spacing w:line="360" w:lineRule="auto"/>
              <w:jc w:val="left"/>
              <w:rPr>
                <w:rFonts w:hint="eastAsia" w:ascii="仿宋" w:hAnsi="仿宋" w:eastAsia="仿宋" w:cs="仿宋"/>
                <w:sz w:val="24"/>
              </w:rPr>
            </w:pPr>
            <w:r>
              <w:rPr>
                <w:rFonts w:hint="eastAsia" w:ascii="仿宋" w:hAnsi="仿宋" w:eastAsia="仿宋" w:cs="仿宋"/>
                <w:sz w:val="24"/>
              </w:rPr>
              <w:t>2.项目组除负责人外的其它测评人员具有以下资格的：</w:t>
            </w: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现场测评经理同时具有等级保护测评师高级证书，涉密人员资格证和注册信息安全专业人员证书（CISP），得</w:t>
            </w:r>
            <w:r>
              <w:rPr>
                <w:rFonts w:hint="eastAsia" w:ascii="仿宋" w:hAnsi="仿宋" w:eastAsia="仿宋" w:cs="仿宋"/>
                <w:sz w:val="24"/>
                <w:lang w:val="en-US" w:eastAsia="zh-CN"/>
              </w:rPr>
              <w:t>4</w:t>
            </w:r>
            <w:r>
              <w:rPr>
                <w:rFonts w:hint="eastAsia" w:ascii="仿宋" w:hAnsi="仿宋" w:eastAsia="仿宋" w:cs="仿宋"/>
                <w:sz w:val="24"/>
              </w:rPr>
              <w:t>分，其他不得分；</w:t>
            </w: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其余测评人员具有IT服务工程师（ITSE）证书、互联网安全评估师证书（CIISA）、商用密码应用安全性评估人员能力合格证书、国际软件测试工程师（ISTQB）证书，每项得</w:t>
            </w:r>
            <w:r>
              <w:rPr>
                <w:rFonts w:hint="eastAsia" w:ascii="仿宋" w:hAnsi="仿宋" w:eastAsia="仿宋" w:cs="仿宋"/>
                <w:sz w:val="24"/>
                <w:lang w:val="en-US" w:eastAsia="zh-CN"/>
              </w:rPr>
              <w:t>2</w:t>
            </w:r>
            <w:r>
              <w:rPr>
                <w:rFonts w:hint="eastAsia" w:ascii="仿宋" w:hAnsi="仿宋" w:eastAsia="仿宋" w:cs="仿宋"/>
                <w:sz w:val="24"/>
              </w:rPr>
              <w:t>分（每项证书不能重复得分），此项最多得</w:t>
            </w:r>
            <w:r>
              <w:rPr>
                <w:rFonts w:hint="eastAsia" w:ascii="仿宋" w:hAnsi="仿宋" w:eastAsia="仿宋" w:cs="仿宋"/>
                <w:sz w:val="24"/>
                <w:lang w:val="en-US" w:eastAsia="zh-CN"/>
              </w:rPr>
              <w:t>8</w:t>
            </w:r>
            <w:r>
              <w:rPr>
                <w:rFonts w:hint="eastAsia" w:ascii="仿宋" w:hAnsi="仿宋" w:eastAsia="仿宋" w:cs="仿宋"/>
                <w:sz w:val="24"/>
              </w:rPr>
              <w:t>分。</w:t>
            </w:r>
          </w:p>
        </w:tc>
        <w:tc>
          <w:tcPr>
            <w:tcW w:w="2127" w:type="dxa"/>
            <w:vAlign w:val="center"/>
          </w:tcPr>
          <w:p>
            <w:pPr>
              <w:spacing w:line="400" w:lineRule="exact"/>
              <w:ind w:left="-38"/>
              <w:rPr>
                <w:rFonts w:ascii="仿宋" w:hAnsi="仿宋" w:eastAsia="仿宋" w:cs="仿宋"/>
                <w:sz w:val="24"/>
              </w:rPr>
            </w:pPr>
            <w:r>
              <w:rPr>
                <w:rFonts w:hint="eastAsia" w:ascii="仿宋" w:hAnsi="仿宋" w:eastAsia="仿宋" w:cs="仿宋"/>
                <w:sz w:val="24"/>
              </w:rPr>
              <w:t>提供相关人员证书证明材料和复印件，加盖投标人公章，原件备查。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1342"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相关服务项目业绩（共同评分因素）</w:t>
            </w:r>
          </w:p>
        </w:tc>
        <w:tc>
          <w:tcPr>
            <w:tcW w:w="850" w:type="dxa"/>
            <w:vAlign w:val="center"/>
          </w:tcPr>
          <w:p>
            <w:pPr>
              <w:widowControl/>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2693" w:type="dxa"/>
            <w:vAlign w:val="center"/>
          </w:tcPr>
          <w:p>
            <w:pPr>
              <w:widowControl/>
              <w:spacing w:line="360" w:lineRule="auto"/>
              <w:jc w:val="left"/>
              <w:rPr>
                <w:rFonts w:hint="eastAsia" w:ascii="仿宋" w:hAnsi="仿宋" w:eastAsia="仿宋" w:cs="仿宋"/>
                <w:sz w:val="24"/>
              </w:rPr>
            </w:pPr>
            <w:r>
              <w:rPr>
                <w:rFonts w:hint="eastAsia" w:ascii="仿宋" w:hAnsi="仿宋" w:eastAsia="仿宋" w:cs="仿宋"/>
                <w:sz w:val="24"/>
              </w:rPr>
              <w:t>投标人自2018年1月1日至今每有等保测评服务案例，每提供一个得分1分，不未提供的得分。</w:t>
            </w:r>
          </w:p>
        </w:tc>
        <w:tc>
          <w:tcPr>
            <w:tcW w:w="2127" w:type="dxa"/>
            <w:vAlign w:val="center"/>
          </w:tcPr>
          <w:p>
            <w:pPr>
              <w:spacing w:line="400" w:lineRule="exact"/>
              <w:ind w:left="-38"/>
              <w:jc w:val="center"/>
              <w:rPr>
                <w:rFonts w:hint="eastAsia" w:ascii="仿宋" w:hAnsi="仿宋" w:eastAsia="仿宋" w:cs="仿宋"/>
                <w:sz w:val="24"/>
              </w:rPr>
            </w:pPr>
            <w:r>
              <w:rPr>
                <w:rFonts w:hint="eastAsia" w:ascii="仿宋" w:hAnsi="仿宋" w:eastAsia="仿宋" w:cs="仿宋"/>
                <w:sz w:val="24"/>
              </w:rPr>
              <w:t>提供相关合同复印件，原件备查。</w:t>
            </w:r>
          </w:p>
        </w:tc>
      </w:tr>
    </w:tbl>
    <w:p>
      <w:pPr>
        <w:jc w:val="left"/>
        <w:rPr>
          <w:rFonts w:ascii="仿宋" w:hAnsi="仿宋" w:eastAsia="仿宋" w:cstheme="minorEastAsia"/>
          <w:color w:val="000000" w:themeColor="text1"/>
          <w:sz w:val="28"/>
          <w:szCs w:val="28"/>
          <w14:textFill>
            <w14:solidFill>
              <w14:schemeClr w14:val="tx1"/>
            </w14:solidFill>
          </w14:textFill>
        </w:rPr>
      </w:pPr>
    </w:p>
    <w:p>
      <w:pPr>
        <w:rPr>
          <w:rFonts w:ascii="仿宋" w:hAnsi="仿宋" w:eastAsia="仿宋" w:cstheme="minorEastAsia"/>
          <w:color w:val="000000" w:themeColor="text1"/>
          <w:sz w:val="28"/>
          <w:szCs w:val="28"/>
          <w14:textFill>
            <w14:solidFill>
              <w14:schemeClr w14:val="tx1"/>
            </w14:solidFill>
          </w14:textFill>
        </w:rPr>
      </w:pPr>
    </w:p>
    <w:p>
      <w:pPr>
        <w:numPr>
          <w:ilvl w:val="0"/>
          <w:numId w:val="0"/>
        </w:numPr>
        <w:jc w:val="left"/>
        <w:rPr>
          <w:rFonts w:hint="eastAsia" w:ascii="仿宋" w:hAnsi="仿宋" w:eastAsia="仿宋" w:cstheme="minorEastAsia"/>
          <w:color w:val="000000" w:themeColor="text1"/>
          <w:sz w:val="28"/>
          <w:szCs w:val="28"/>
          <w14:textFill>
            <w14:solidFill>
              <w14:schemeClr w14:val="tx1"/>
            </w14:solidFill>
          </w14:textFill>
        </w:rPr>
      </w:pPr>
    </w:p>
    <w:p>
      <w:pPr>
        <w:numPr>
          <w:ilvl w:val="0"/>
          <w:numId w:val="0"/>
        </w:numPr>
        <w:jc w:val="left"/>
        <w:rPr>
          <w:rFonts w:ascii="仿宋" w:hAnsi="仿宋" w:eastAsia="仿宋" w:cstheme="minorEastAsia"/>
          <w:b/>
          <w:bCs/>
          <w:color w:val="000000" w:themeColor="text1"/>
          <w:sz w:val="28"/>
          <w:szCs w:val="28"/>
          <w14:textFill>
            <w14:solidFill>
              <w14:schemeClr w14:val="tx1"/>
            </w14:solidFill>
          </w14:textFill>
        </w:rPr>
      </w:pPr>
      <w:r>
        <w:rPr>
          <w:rFonts w:hint="eastAsia" w:ascii="仿宋" w:hAnsi="仿宋" w:eastAsia="仿宋" w:cstheme="minorEastAsia"/>
          <w:b/>
          <w:bCs/>
          <w:color w:val="000000" w:themeColor="text1"/>
          <w:sz w:val="28"/>
          <w:szCs w:val="28"/>
          <w:lang w:val="en-US" w:eastAsia="zh-CN"/>
          <w14:textFill>
            <w14:solidFill>
              <w14:schemeClr w14:val="tx1"/>
            </w14:solidFill>
          </w14:textFill>
        </w:rPr>
        <w:t xml:space="preserve">第七部分 </w:t>
      </w:r>
      <w:r>
        <w:rPr>
          <w:rFonts w:hint="eastAsia" w:ascii="仿宋" w:hAnsi="仿宋" w:eastAsia="仿宋" w:cstheme="minorEastAsia"/>
          <w:b/>
          <w:bCs/>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w:t>
      </w:r>
      <w:r>
        <w:rPr>
          <w:rFonts w:hint="eastAsia" w:ascii="仿宋" w:hAnsi="仿宋" w:eastAsia="仿宋" w:cstheme="minorEastAsia"/>
          <w:color w:val="000000" w:themeColor="text1"/>
          <w:sz w:val="28"/>
          <w:szCs w:val="28"/>
          <w:lang w:val="en-US" w:eastAsia="zh-CN"/>
          <w14:textFill>
            <w14:solidFill>
              <w14:schemeClr w14:val="tx1"/>
            </w14:solidFill>
          </w14:textFill>
        </w:rPr>
        <w:t>陈</w:t>
      </w:r>
      <w:r>
        <w:rPr>
          <w:rFonts w:hint="eastAsia" w:ascii="仿宋" w:hAnsi="仿宋" w:eastAsia="仿宋" w:cstheme="minorEastAsia"/>
          <w:color w:val="000000" w:themeColor="text1"/>
          <w:sz w:val="28"/>
          <w:szCs w:val="28"/>
          <w14:textFill>
            <w14:solidFill>
              <w14:schemeClr w14:val="tx1"/>
            </w14:solidFill>
          </w14:textFill>
        </w:rPr>
        <w:t>老师028-81020254</w:t>
      </w:r>
    </w:p>
    <w:p>
      <w:pPr>
        <w:jc w:val="left"/>
        <w:rPr>
          <w:rFonts w:hint="eastAsia"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w:t>
      </w:r>
      <w:r>
        <w:rPr>
          <w:rFonts w:hint="eastAsia" w:ascii="仿宋" w:hAnsi="仿宋" w:eastAsia="仿宋" w:cstheme="minorEastAsia"/>
          <w:color w:val="000000" w:themeColor="text1"/>
          <w:sz w:val="28"/>
          <w:szCs w:val="28"/>
          <w:lang w:val="en-US" w:eastAsia="zh-CN"/>
          <w14:textFill>
            <w14:solidFill>
              <w14:schemeClr w14:val="tx1"/>
            </w14:solidFill>
          </w14:textFill>
        </w:rPr>
        <w:t>技术</w:t>
      </w:r>
      <w:r>
        <w:rPr>
          <w:rFonts w:hint="eastAsia" w:ascii="仿宋" w:hAnsi="仿宋" w:eastAsia="仿宋" w:cstheme="minorEastAsia"/>
          <w:color w:val="000000" w:themeColor="text1"/>
          <w:sz w:val="28"/>
          <w:szCs w:val="28"/>
          <w14:textFill>
            <w14:solidFill>
              <w14:schemeClr w14:val="tx1"/>
            </w14:solidFill>
          </w14:textFill>
        </w:rPr>
        <w:t>联系人：</w:t>
      </w:r>
      <w:r>
        <w:rPr>
          <w:rFonts w:hint="eastAsia" w:ascii="仿宋" w:hAnsi="仿宋" w:eastAsia="仿宋" w:cstheme="minorEastAsia"/>
          <w:color w:val="000000" w:themeColor="text1"/>
          <w:sz w:val="28"/>
          <w:szCs w:val="28"/>
          <w:lang w:val="en-US" w:eastAsia="zh-CN"/>
          <w14:textFill>
            <w14:solidFill>
              <w14:schemeClr w14:val="tx1"/>
            </w14:solidFill>
          </w14:textFill>
        </w:rPr>
        <w:t>王</w:t>
      </w:r>
      <w:r>
        <w:rPr>
          <w:rFonts w:hint="eastAsia" w:ascii="仿宋" w:hAnsi="仿宋" w:eastAsia="仿宋" w:cstheme="minorEastAsia"/>
          <w:color w:val="000000" w:themeColor="text1"/>
          <w:sz w:val="28"/>
          <w:szCs w:val="28"/>
          <w14:textFill>
            <w14:solidFill>
              <w14:schemeClr w14:val="tx1"/>
            </w14:solidFill>
          </w14:textFill>
        </w:rPr>
        <w:t>老师028-81020</w:t>
      </w:r>
      <w:r>
        <w:rPr>
          <w:rFonts w:hint="eastAsia" w:ascii="仿宋" w:hAnsi="仿宋" w:eastAsia="仿宋" w:cstheme="minorEastAsia"/>
          <w:color w:val="000000" w:themeColor="text1"/>
          <w:sz w:val="28"/>
          <w:szCs w:val="28"/>
          <w:lang w:val="en-US" w:eastAsia="zh-CN"/>
          <w14:textFill>
            <w14:solidFill>
              <w14:schemeClr w14:val="tx1"/>
            </w14:solidFill>
          </w14:textFill>
        </w:rPr>
        <w:t>070</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5"/>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（二）具有良好的商业信誉和健全的财务会计制度；</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（三）具有履行合同所必需的设备和专业技术能力；</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（四）有依法缴纳税收和社会保障资金的良好记录；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5"/>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7"/>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lang w:val="en-US" w:eastAsia="zh-CN"/>
          <w14:textFill>
            <w14:solidFill>
              <w14:schemeClr w14:val="tx1"/>
            </w14:solidFill>
          </w14:textFill>
        </w:rPr>
        <w:t>培训</w:t>
      </w:r>
      <w:r>
        <w:rPr>
          <w:rFonts w:hint="eastAsia" w:ascii="仿宋" w:hAnsi="仿宋" w:eastAsia="仿宋"/>
          <w:b/>
          <w:color w:val="000000" w:themeColor="text1"/>
          <w:sz w:val="36"/>
          <w:szCs w:val="32"/>
          <w14:textFill>
            <w14:solidFill>
              <w14:schemeClr w14:val="tx1"/>
            </w14:solidFill>
          </w14:textFill>
        </w:rPr>
        <w:t>方案</w:t>
      </w:r>
    </w:p>
    <w:p>
      <w:pPr>
        <w:pStyle w:val="7"/>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w:t>
      </w:r>
      <w:r>
        <w:rPr>
          <w:rFonts w:hint="eastAsia" w:ascii="仿宋" w:hAnsi="仿宋" w:eastAsia="仿宋"/>
          <w:color w:val="000000" w:themeColor="text1"/>
          <w:sz w:val="28"/>
          <w:szCs w:val="28"/>
          <w:lang w:val="en-US" w:eastAsia="zh-CN"/>
          <w14:textFill>
            <w14:solidFill>
              <w14:schemeClr w14:val="tx1"/>
            </w14:solidFill>
          </w14:textFill>
        </w:rPr>
        <w:t>培训</w:t>
      </w:r>
      <w:r>
        <w:rPr>
          <w:rFonts w:hint="eastAsia" w:ascii="仿宋" w:hAnsi="仿宋" w:eastAsia="仿宋"/>
          <w:color w:val="000000" w:themeColor="text1"/>
          <w:sz w:val="28"/>
          <w:szCs w:val="28"/>
          <w14:textFill>
            <w14:solidFill>
              <w14:schemeClr w14:val="tx1"/>
            </w14:solidFill>
          </w14:textFill>
        </w:rPr>
        <w:t>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p>
    <w:p>
      <w:pPr>
        <w:jc w:val="center"/>
        <w:rPr>
          <w:rFonts w:ascii="仿宋" w:hAnsi="仿宋" w:eastAsia="仿宋"/>
          <w:b/>
          <w:bCs/>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ind w:left="0" w:leftChars="0"/>
        <w:rPr>
          <w:rFonts w:ascii="仿宋" w:hAnsi="仿宋" w:eastAsia="仿宋"/>
          <w:color w:val="000000" w:themeColor="text1"/>
          <w:sz w:val="28"/>
          <w:szCs w:val="28"/>
          <w14:textFill>
            <w14:solidFill>
              <w14:schemeClr w14:val="tx1"/>
            </w14:solidFill>
          </w14:textFill>
        </w:rPr>
      </w:pPr>
    </w:p>
    <w:p>
      <w:pPr>
        <w:pStyle w:val="7"/>
        <w:ind w:left="0" w:leftChars="0"/>
        <w:rPr>
          <w:rFonts w:ascii="仿宋" w:hAnsi="仿宋" w:eastAsia="仿宋"/>
          <w:color w:val="000000" w:themeColor="text1"/>
          <w:sz w:val="28"/>
          <w:szCs w:val="28"/>
          <w14:textFill>
            <w14:solidFill>
              <w14:schemeClr w14:val="tx1"/>
            </w14:solidFill>
          </w14:textFill>
        </w:rPr>
      </w:pP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5"/>
        <w:rPr>
          <w:rFonts w:cs="Times New Roman"/>
          <w:lang w:val="zh-CN"/>
        </w:rPr>
      </w:pPr>
      <w:r>
        <w:br w:type="page"/>
      </w:r>
    </w:p>
    <w:p>
      <w:pPr>
        <w:pStyle w:val="7"/>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1"/>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1"/>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hint="eastAsia" w:ascii="仿宋" w:hAnsi="仿宋" w:eastAsia="仿宋"/>
          <w:color w:val="000000" w:themeColor="text1"/>
          <w:sz w:val="24"/>
          <w:szCs w:val="32"/>
          <w:lang w:eastAsia="zh-CN"/>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3"/>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lang w:val="en-US" w:eastAsia="zh-CN"/>
                <w14:textFill>
                  <w14:solidFill>
                    <w14:schemeClr w14:val="tx1"/>
                  </w14:solidFill>
                </w14:textFill>
              </w:rPr>
              <w:t>服务</w:t>
            </w:r>
            <w:r>
              <w:rPr>
                <w:rFonts w:hint="eastAsia" w:ascii="仿宋" w:hAnsi="仿宋" w:eastAsia="仿宋" w:cs="仿宋"/>
                <w:color w:val="000000" w:themeColor="text1"/>
                <w:kern w:val="0"/>
                <w:sz w:val="24"/>
                <w:szCs w:val="24"/>
                <w14:textFill>
                  <w14:solidFill>
                    <w14:schemeClr w14:val="tx1"/>
                  </w14:solidFill>
                </w14:textFill>
              </w:rPr>
              <w:t>期及地点</w:t>
            </w:r>
          </w:p>
        </w:tc>
        <w:tc>
          <w:tcPr>
            <w:tcW w:w="5386" w:type="dxa"/>
            <w:noWrap/>
            <w:vAlign w:val="center"/>
          </w:tcPr>
          <w:p>
            <w:pPr>
              <w:pStyle w:val="3"/>
              <w:tabs>
                <w:tab w:val="left" w:pos="6880"/>
              </w:tabs>
              <w:spacing w:line="360" w:lineRule="auto"/>
              <w:ind w:firstLine="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服务期限：合同签订后一周内进场开始测评工作，本项目须于2021年12月25日前完成。</w:t>
            </w:r>
          </w:p>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交货地点：采购人指定地点。</w:t>
            </w: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合同签订生效后，甲方收到乙方等额发票后</w:t>
            </w:r>
            <w:r>
              <w:rPr>
                <w:rFonts w:hint="eastAsia" w:ascii="仿宋" w:hAnsi="仿宋" w:eastAsia="仿宋" w:cs="仿宋"/>
                <w:color w:val="000000" w:themeColor="text1"/>
                <w:kern w:val="0"/>
                <w:sz w:val="24"/>
                <w:szCs w:val="24"/>
                <w:lang w:val="en-US" w:eastAsia="zh-CN"/>
                <w14:textFill>
                  <w14:solidFill>
                    <w14:schemeClr w14:val="tx1"/>
                  </w14:solidFill>
                </w14:textFill>
              </w:rPr>
              <w:t>30</w:t>
            </w:r>
            <w:r>
              <w:rPr>
                <w:rFonts w:hint="eastAsia" w:ascii="仿宋" w:hAnsi="仿宋" w:eastAsia="仿宋" w:cs="仿宋"/>
                <w:color w:val="000000" w:themeColor="text1"/>
                <w:kern w:val="0"/>
                <w:sz w:val="24"/>
                <w:szCs w:val="24"/>
                <w14:textFill>
                  <w14:solidFill>
                    <w14:schemeClr w14:val="tx1"/>
                  </w14:solidFill>
                </w14:textFill>
              </w:rPr>
              <w:t>日内支付中标金额的30%款项；</w:t>
            </w:r>
            <w:r>
              <w:rPr>
                <w:rFonts w:hint="eastAsia" w:ascii="仿宋" w:hAnsi="仿宋" w:eastAsia="仿宋" w:cs="仿宋"/>
                <w:color w:val="000000" w:themeColor="text1"/>
                <w:kern w:val="0"/>
                <w:sz w:val="24"/>
                <w:szCs w:val="24"/>
                <w:lang w:val="en-US" w:eastAsia="zh-CN"/>
                <w14:textFill>
                  <w14:solidFill>
                    <w14:schemeClr w14:val="tx1"/>
                  </w14:solidFill>
                </w14:textFill>
              </w:rPr>
              <w:t>服务</w:t>
            </w:r>
            <w:r>
              <w:rPr>
                <w:rFonts w:hint="eastAsia" w:ascii="仿宋" w:hAnsi="仿宋" w:eastAsia="仿宋" w:cs="仿宋"/>
                <w:color w:val="000000" w:themeColor="text1"/>
                <w:kern w:val="0"/>
                <w:sz w:val="24"/>
                <w:szCs w:val="24"/>
                <w14:textFill>
                  <w14:solidFill>
                    <w14:schemeClr w14:val="tx1"/>
                  </w14:solidFill>
                </w14:textFill>
              </w:rPr>
              <w:t>完成并验收合格后，甲方收到乙方等额发票后</w:t>
            </w:r>
            <w:r>
              <w:rPr>
                <w:rFonts w:hint="eastAsia" w:ascii="仿宋" w:hAnsi="仿宋" w:eastAsia="仿宋" w:cs="仿宋"/>
                <w:color w:val="000000" w:themeColor="text1"/>
                <w:kern w:val="0"/>
                <w:sz w:val="24"/>
                <w:szCs w:val="24"/>
                <w:lang w:val="en-US" w:eastAsia="zh-CN"/>
                <w14:textFill>
                  <w14:solidFill>
                    <w14:schemeClr w14:val="tx1"/>
                  </w14:solidFill>
                </w14:textFill>
              </w:rPr>
              <w:t>30</w:t>
            </w:r>
            <w:r>
              <w:rPr>
                <w:rFonts w:hint="eastAsia" w:ascii="仿宋" w:hAnsi="仿宋" w:eastAsia="仿宋" w:cs="仿宋"/>
                <w:color w:val="000000" w:themeColor="text1"/>
                <w:kern w:val="0"/>
                <w:sz w:val="24"/>
                <w:szCs w:val="24"/>
                <w14:textFill>
                  <w14:solidFill>
                    <w14:schemeClr w14:val="tx1"/>
                  </w14:solidFill>
                </w14:textFill>
              </w:rPr>
              <w:t>日内支付中标金额的70%款项。</w:t>
            </w: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5"/>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sz w:val="24"/>
                <w:lang w:val="en-US" w:eastAsia="zh-CN"/>
              </w:rPr>
              <w:t>按国家有关规定、《财政部关于进一步加强政府采购需求和履行验收管理的指导意见》（财库〔2016〕205号）文件、招标文件要求、投标人的投标文件及有关承诺以及合同约定标准进行验收。本项目主要预期成果为“四川省严重精神障碍综合管理信息系统”通过等级保护测评（三级），在2021年12月31日前取得符合要求的《信息系统安全等级保护备案证明》即可视为验收合</w:t>
            </w:r>
            <w:r>
              <w:rPr>
                <w:rFonts w:hint="eastAsia" w:ascii="仿宋" w:hAnsi="仿宋" w:eastAsia="仿宋" w:cs="仿宋"/>
                <w:bCs/>
                <w:sz w:val="24"/>
              </w:rPr>
              <w:t>格。</w:t>
            </w:r>
          </w:p>
        </w:tc>
        <w:tc>
          <w:tcPr>
            <w:tcW w:w="1226"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04" w:type="dxa"/>
            <w:noWrap/>
            <w:vAlign w:val="center"/>
          </w:tcPr>
          <w:p>
            <w:pPr>
              <w:pStyle w:val="3"/>
              <w:tabs>
                <w:tab w:val="left" w:pos="34"/>
              </w:tabs>
              <w:spacing w:line="360" w:lineRule="auto"/>
              <w:ind w:firstLine="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1418" w:type="dxa"/>
            <w:vAlign w:val="center"/>
          </w:tcPr>
          <w:p>
            <w:pPr>
              <w:pStyle w:val="3"/>
              <w:tabs>
                <w:tab w:val="left" w:pos="6880"/>
              </w:tabs>
              <w:spacing w:line="360" w:lineRule="auto"/>
              <w:ind w:firstLine="0"/>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培训要求</w:t>
            </w:r>
          </w:p>
        </w:tc>
        <w:tc>
          <w:tcPr>
            <w:tcW w:w="5386" w:type="dxa"/>
            <w:noWrap/>
            <w:vAlign w:val="center"/>
          </w:tcPr>
          <w:p>
            <w:pPr>
              <w:pStyle w:val="6"/>
              <w:ind w:left="0" w:leftChars="0" w:firstLine="0" w:firstLineChars="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kern w:val="2"/>
                <w:sz w:val="24"/>
                <w:szCs w:val="24"/>
                <w:lang w:val="en-US" w:eastAsia="zh-CN" w:bidi="ar-SA"/>
              </w:rPr>
              <w:t>投标人结合本项目及招标人实际需要，提供技术培训方案。</w:t>
            </w:r>
          </w:p>
        </w:tc>
        <w:tc>
          <w:tcPr>
            <w:tcW w:w="1226"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704" w:type="dxa"/>
            <w:noWrap/>
            <w:vAlign w:val="center"/>
          </w:tcPr>
          <w:p>
            <w:pPr>
              <w:pStyle w:val="3"/>
              <w:tabs>
                <w:tab w:val="left" w:pos="34"/>
              </w:tabs>
              <w:spacing w:line="360" w:lineRule="auto"/>
              <w:ind w:firstLine="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技术标准和规范</w:t>
            </w:r>
          </w:p>
        </w:tc>
        <w:tc>
          <w:tcPr>
            <w:tcW w:w="5386" w:type="dxa"/>
            <w:noWrap/>
            <w:vAlign w:val="center"/>
          </w:tcPr>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中华人民共和国计算机信息系统安全保护条例》(国务院令147号)、《信息安全等级保护管理办法》（公通字[2007]43号、《计算机信息系统安全保护等级划分准则》（GB17859-1999）、《信息安全技术网络安全等级保护定级指南》（GB/T22240-2020）、《信息安全技术网络安全等级保护基本要求》（GB/T22239-2019)、《信息安全技术网络安全等级保护测评要求》（GB/T28448-2019）、《信息安全技术网络安全等级保护测评过程指南》（GB/T28449-2018）、《信息安全技术网络安全等级保护实施指南》（GB/T 25058-2019）、《信息安全技术信息安全风险评估规范》（GB/T20984-2015）、《中华人民共和国网络安全法》。</w:t>
            </w:r>
          </w:p>
        </w:tc>
        <w:tc>
          <w:tcPr>
            <w:tcW w:w="1226" w:type="dxa"/>
            <w:noWrap/>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704" w:type="dxa"/>
            <w:noWrap/>
            <w:vAlign w:val="center"/>
          </w:tcPr>
          <w:p>
            <w:pPr>
              <w:pStyle w:val="3"/>
              <w:tabs>
                <w:tab w:val="left" w:pos="34"/>
              </w:tabs>
              <w:spacing w:line="360" w:lineRule="auto"/>
              <w:ind w:firstLine="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w:t>
            </w:r>
          </w:p>
        </w:tc>
        <w:tc>
          <w:tcPr>
            <w:tcW w:w="1418" w:type="dxa"/>
            <w:vAlign w:val="center"/>
          </w:tcPr>
          <w:p>
            <w:pPr>
              <w:pStyle w:val="3"/>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技术原则</w:t>
            </w:r>
          </w:p>
        </w:tc>
        <w:tc>
          <w:tcPr>
            <w:tcW w:w="5386" w:type="dxa"/>
            <w:noWrap/>
            <w:vAlign w:val="center"/>
          </w:tcPr>
          <w:p>
            <w:pPr>
              <w:pStyle w:val="3"/>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1.保密原则：对测评的过程数据和结果数据严格保密，未经授权不得泄露给任何单位和个人，不得利用此数据进行任何侵害采购方的行为，否则采购方有权追究供应商的责任。</w:t>
            </w:r>
          </w:p>
          <w:p>
            <w:pPr>
              <w:pStyle w:val="3"/>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2.标准性原则：测评方案的设计与实施应依据国家等级保护的相关标准进行。</w:t>
            </w:r>
          </w:p>
          <w:p>
            <w:pPr>
              <w:pStyle w:val="3"/>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3.规范性原则：供应商的工作中的过程和文档，具有很好的规范性，可以便于项目的跟踪和控制，测评出具的报告须符合公安部颁布的《信息系统安全等级测评报告模板》。</w:t>
            </w:r>
          </w:p>
          <w:p>
            <w:pPr>
              <w:pStyle w:val="3"/>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4.可控性原则：等保测评服务的进度要按照招标文件 的要求，保证采购方对于测评工作的可控性。</w:t>
            </w:r>
          </w:p>
          <w:p>
            <w:pPr>
              <w:pStyle w:val="3"/>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5.整体性原则：等保测评服务的范围和内容应当整体全面，包括国家等级保护相关要求测评要求涉及的各个层面。</w:t>
            </w:r>
          </w:p>
          <w:p>
            <w:pPr>
              <w:pStyle w:val="3"/>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6.安全性原则：等保测评服务工作应不得影响系统和网络的正常运行；测评工作不得对现有信息系统的正常运行、业务的正常开展产生任何影响。</w:t>
            </w:r>
          </w:p>
          <w:p>
            <w:pPr>
              <w:pStyle w:val="3"/>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测评机构资质及人员要求：（1）从事信息系统检测评估相关工作人员无违法记录；（2）工作人员仅限于中华人民共和国境内的中国公民，且无犯罪记录；（3）测评期间需遵守被测单位相关管理规定，禁止利用测评工作从事危害被测单位利益、安全的活动。</w:t>
            </w:r>
          </w:p>
        </w:tc>
        <w:tc>
          <w:tcPr>
            <w:tcW w:w="1226" w:type="dxa"/>
            <w:noWrap/>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mNTZlYzZkNGNhMmRiYWI1NWQzNTk0NzYxNmU0NWEifQ=="/>
  </w:docVars>
  <w:rsids>
    <w:rsidRoot w:val="00A6066E"/>
    <w:rsid w:val="00010760"/>
    <w:rsid w:val="00012EB7"/>
    <w:rsid w:val="00013D73"/>
    <w:rsid w:val="0001775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10D1F"/>
    <w:rsid w:val="002402C4"/>
    <w:rsid w:val="002410BE"/>
    <w:rsid w:val="002440F8"/>
    <w:rsid w:val="00246CCC"/>
    <w:rsid w:val="002473D4"/>
    <w:rsid w:val="0025727E"/>
    <w:rsid w:val="00281C85"/>
    <w:rsid w:val="002A4A5B"/>
    <w:rsid w:val="002B2A52"/>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51112"/>
    <w:rsid w:val="004549A8"/>
    <w:rsid w:val="00457120"/>
    <w:rsid w:val="00460D3F"/>
    <w:rsid w:val="004622D1"/>
    <w:rsid w:val="00470E68"/>
    <w:rsid w:val="0048469D"/>
    <w:rsid w:val="004A03C2"/>
    <w:rsid w:val="004A2F50"/>
    <w:rsid w:val="004B0B0D"/>
    <w:rsid w:val="004C1B28"/>
    <w:rsid w:val="004C5B21"/>
    <w:rsid w:val="004E7E24"/>
    <w:rsid w:val="004F04E1"/>
    <w:rsid w:val="005112C8"/>
    <w:rsid w:val="00513A3D"/>
    <w:rsid w:val="00517ED4"/>
    <w:rsid w:val="0052276B"/>
    <w:rsid w:val="00530A1E"/>
    <w:rsid w:val="00536937"/>
    <w:rsid w:val="00551B3A"/>
    <w:rsid w:val="0055769A"/>
    <w:rsid w:val="00573A8C"/>
    <w:rsid w:val="00585CEA"/>
    <w:rsid w:val="005B6F42"/>
    <w:rsid w:val="005C19CF"/>
    <w:rsid w:val="005D69B0"/>
    <w:rsid w:val="005F0252"/>
    <w:rsid w:val="005F3643"/>
    <w:rsid w:val="00610EE5"/>
    <w:rsid w:val="00644C3A"/>
    <w:rsid w:val="00647071"/>
    <w:rsid w:val="00650851"/>
    <w:rsid w:val="00695355"/>
    <w:rsid w:val="006C51CC"/>
    <w:rsid w:val="006C703F"/>
    <w:rsid w:val="006D2DDB"/>
    <w:rsid w:val="006D4C72"/>
    <w:rsid w:val="006D7F26"/>
    <w:rsid w:val="006E6DA8"/>
    <w:rsid w:val="006F31A3"/>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E14DE"/>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B03953"/>
    <w:rsid w:val="00B10767"/>
    <w:rsid w:val="00B3492F"/>
    <w:rsid w:val="00B406D9"/>
    <w:rsid w:val="00B4097E"/>
    <w:rsid w:val="00B46FE7"/>
    <w:rsid w:val="00B47D48"/>
    <w:rsid w:val="00B50B9F"/>
    <w:rsid w:val="00B54B2E"/>
    <w:rsid w:val="00B64CB1"/>
    <w:rsid w:val="00B65426"/>
    <w:rsid w:val="00B747E8"/>
    <w:rsid w:val="00B83C3B"/>
    <w:rsid w:val="00B83C7C"/>
    <w:rsid w:val="00B8794B"/>
    <w:rsid w:val="00B90053"/>
    <w:rsid w:val="00B90B8B"/>
    <w:rsid w:val="00B90E93"/>
    <w:rsid w:val="00B92299"/>
    <w:rsid w:val="00B93315"/>
    <w:rsid w:val="00BA3F11"/>
    <w:rsid w:val="00BA559E"/>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7A33"/>
    <w:rsid w:val="00CD4F87"/>
    <w:rsid w:val="00CD6B18"/>
    <w:rsid w:val="00CE610A"/>
    <w:rsid w:val="00CE73F6"/>
    <w:rsid w:val="00CF088F"/>
    <w:rsid w:val="00D00490"/>
    <w:rsid w:val="00D166B1"/>
    <w:rsid w:val="00D24D8B"/>
    <w:rsid w:val="00D541A8"/>
    <w:rsid w:val="00D71AFA"/>
    <w:rsid w:val="00DF32CB"/>
    <w:rsid w:val="00DF5C52"/>
    <w:rsid w:val="00E035FD"/>
    <w:rsid w:val="00E10BCB"/>
    <w:rsid w:val="00E255F6"/>
    <w:rsid w:val="00E303D7"/>
    <w:rsid w:val="00E367EB"/>
    <w:rsid w:val="00E572B7"/>
    <w:rsid w:val="00E76736"/>
    <w:rsid w:val="00E840E2"/>
    <w:rsid w:val="00E90391"/>
    <w:rsid w:val="00E90D46"/>
    <w:rsid w:val="00EB06CA"/>
    <w:rsid w:val="00EB3441"/>
    <w:rsid w:val="00ED2B96"/>
    <w:rsid w:val="00EE46EE"/>
    <w:rsid w:val="00F1578D"/>
    <w:rsid w:val="00F15D02"/>
    <w:rsid w:val="00F21E5E"/>
    <w:rsid w:val="00F21F0D"/>
    <w:rsid w:val="00F56670"/>
    <w:rsid w:val="00F7552D"/>
    <w:rsid w:val="00F80CAC"/>
    <w:rsid w:val="00F83907"/>
    <w:rsid w:val="00F953B6"/>
    <w:rsid w:val="00FA2998"/>
    <w:rsid w:val="00FA323F"/>
    <w:rsid w:val="00FA429B"/>
    <w:rsid w:val="00FE142A"/>
    <w:rsid w:val="00FE6EA1"/>
    <w:rsid w:val="01EF4FE4"/>
    <w:rsid w:val="02E545CF"/>
    <w:rsid w:val="03476805"/>
    <w:rsid w:val="05B963B0"/>
    <w:rsid w:val="0777261F"/>
    <w:rsid w:val="079972E3"/>
    <w:rsid w:val="08681BA6"/>
    <w:rsid w:val="0F6500AE"/>
    <w:rsid w:val="15EC41DA"/>
    <w:rsid w:val="16012CE8"/>
    <w:rsid w:val="18251A52"/>
    <w:rsid w:val="1C0A7E27"/>
    <w:rsid w:val="1C0B12AF"/>
    <w:rsid w:val="1F383832"/>
    <w:rsid w:val="21044B9D"/>
    <w:rsid w:val="21450C91"/>
    <w:rsid w:val="2381166C"/>
    <w:rsid w:val="24F96CA8"/>
    <w:rsid w:val="28042D57"/>
    <w:rsid w:val="28FC1071"/>
    <w:rsid w:val="29BB23E3"/>
    <w:rsid w:val="2BD13993"/>
    <w:rsid w:val="2F9D0AAC"/>
    <w:rsid w:val="31431EE2"/>
    <w:rsid w:val="31D71407"/>
    <w:rsid w:val="328C6861"/>
    <w:rsid w:val="339577D0"/>
    <w:rsid w:val="37122244"/>
    <w:rsid w:val="372B531C"/>
    <w:rsid w:val="3844628F"/>
    <w:rsid w:val="39CE723C"/>
    <w:rsid w:val="3A6E40ED"/>
    <w:rsid w:val="3AE94FD9"/>
    <w:rsid w:val="3E327C16"/>
    <w:rsid w:val="402819DE"/>
    <w:rsid w:val="429E3216"/>
    <w:rsid w:val="43FB1CC9"/>
    <w:rsid w:val="46A01B66"/>
    <w:rsid w:val="46BB049B"/>
    <w:rsid w:val="493960B2"/>
    <w:rsid w:val="494C4D60"/>
    <w:rsid w:val="4AB633CB"/>
    <w:rsid w:val="4B5B3130"/>
    <w:rsid w:val="4CB02D01"/>
    <w:rsid w:val="4F37130D"/>
    <w:rsid w:val="50C8395B"/>
    <w:rsid w:val="52530863"/>
    <w:rsid w:val="52AA2277"/>
    <w:rsid w:val="531F70F4"/>
    <w:rsid w:val="55390748"/>
    <w:rsid w:val="553C243D"/>
    <w:rsid w:val="56C93F74"/>
    <w:rsid w:val="59EB6C90"/>
    <w:rsid w:val="5CAA0423"/>
    <w:rsid w:val="5F5156AC"/>
    <w:rsid w:val="5F546CFC"/>
    <w:rsid w:val="610E62F8"/>
    <w:rsid w:val="620B4261"/>
    <w:rsid w:val="63345F40"/>
    <w:rsid w:val="655A0F44"/>
    <w:rsid w:val="681873D6"/>
    <w:rsid w:val="688C64CE"/>
    <w:rsid w:val="6AE07204"/>
    <w:rsid w:val="6E784143"/>
    <w:rsid w:val="6E96154E"/>
    <w:rsid w:val="7277650C"/>
    <w:rsid w:val="73B644A9"/>
    <w:rsid w:val="799A1CB7"/>
    <w:rsid w:val="7C0238A0"/>
    <w:rsid w:val="7F5C16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annotation text"/>
    <w:basedOn w:val="1"/>
    <w:link w:val="20"/>
    <w:qFormat/>
    <w:uiPriority w:val="0"/>
    <w:pPr>
      <w:jc w:val="left"/>
    </w:pPr>
    <w:rPr>
      <w:sz w:val="18"/>
      <w:szCs w:val="20"/>
    </w:rPr>
  </w:style>
  <w:style w:type="paragraph" w:styleId="5">
    <w:name w:val="Body Text"/>
    <w:basedOn w:val="1"/>
    <w:next w:val="6"/>
    <w:link w:val="19"/>
    <w:qFormat/>
    <w:uiPriority w:val="0"/>
    <w:rPr>
      <w:rFonts w:ascii="Times New Roman"/>
    </w:rPr>
  </w:style>
  <w:style w:type="paragraph" w:styleId="6">
    <w:name w:val="Body Text First Indent"/>
    <w:basedOn w:val="5"/>
    <w:link w:val="21"/>
    <w:unhideWhenUsed/>
    <w:qFormat/>
    <w:uiPriority w:val="99"/>
    <w:pPr>
      <w:ind w:firstLine="420" w:firstLineChars="100"/>
    </w:pPr>
  </w:style>
  <w:style w:type="paragraph" w:styleId="7">
    <w:name w:val="Body Text Indent"/>
    <w:basedOn w:val="1"/>
    <w:link w:val="18"/>
    <w:qFormat/>
    <w:uiPriority w:val="0"/>
    <w:pPr>
      <w:spacing w:after="120"/>
      <w:ind w:left="420" w:leftChars="200"/>
    </w:pPr>
    <w:rPr>
      <w:rFonts w:ascii="Calibri" w:hAnsi="Calibri" w:eastAsia="宋体" w:cs="Times New Roman"/>
      <w:lang w:val="zh-CN"/>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page number"/>
    <w:qFormat/>
    <w:uiPriority w:val="0"/>
  </w:style>
  <w:style w:type="character" w:styleId="14">
    <w:name w:val="Hyperlink"/>
    <w:basedOn w:val="12"/>
    <w:qFormat/>
    <w:uiPriority w:val="0"/>
    <w:rPr>
      <w:color w:val="0000FF"/>
      <w:u w:val="single"/>
    </w:rPr>
  </w:style>
  <w:style w:type="paragraph" w:customStyle="1" w:styleId="15">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6">
    <w:name w:val="页眉 字符"/>
    <w:basedOn w:val="12"/>
    <w:link w:val="9"/>
    <w:qFormat/>
    <w:uiPriority w:val="0"/>
    <w:rPr>
      <w:rFonts w:asciiTheme="minorHAnsi" w:hAnsiTheme="minorHAnsi" w:eastAsiaTheme="minorEastAsia" w:cstheme="minorBidi"/>
      <w:kern w:val="2"/>
      <w:sz w:val="18"/>
      <w:szCs w:val="18"/>
    </w:rPr>
  </w:style>
  <w:style w:type="character" w:customStyle="1" w:styleId="17">
    <w:name w:val="页脚 字符"/>
    <w:basedOn w:val="12"/>
    <w:link w:val="8"/>
    <w:qFormat/>
    <w:uiPriority w:val="0"/>
    <w:rPr>
      <w:rFonts w:asciiTheme="minorHAnsi" w:hAnsiTheme="minorHAnsi" w:eastAsiaTheme="minorEastAsia" w:cstheme="minorBidi"/>
      <w:kern w:val="2"/>
      <w:sz w:val="18"/>
      <w:szCs w:val="18"/>
    </w:rPr>
  </w:style>
  <w:style w:type="character" w:customStyle="1" w:styleId="18">
    <w:name w:val="正文文本缩进 字符"/>
    <w:basedOn w:val="12"/>
    <w:link w:val="7"/>
    <w:qFormat/>
    <w:uiPriority w:val="0"/>
    <w:rPr>
      <w:rFonts w:ascii="Calibri" w:hAnsi="Calibri"/>
      <w:kern w:val="2"/>
      <w:sz w:val="21"/>
      <w:szCs w:val="24"/>
      <w:lang w:val="zh-CN"/>
    </w:rPr>
  </w:style>
  <w:style w:type="character" w:customStyle="1" w:styleId="19">
    <w:name w:val="正文文本 字符"/>
    <w:basedOn w:val="12"/>
    <w:link w:val="5"/>
    <w:qFormat/>
    <w:uiPriority w:val="99"/>
    <w:rPr>
      <w:rFonts w:hAnsiTheme="minorHAnsi" w:eastAsiaTheme="minorEastAsia" w:cstheme="minorBidi"/>
      <w:kern w:val="2"/>
      <w:sz w:val="21"/>
      <w:szCs w:val="24"/>
    </w:rPr>
  </w:style>
  <w:style w:type="character" w:customStyle="1" w:styleId="20">
    <w:name w:val="批注文字 字符"/>
    <w:link w:val="4"/>
    <w:qFormat/>
    <w:uiPriority w:val="0"/>
    <w:rPr>
      <w:rFonts w:asciiTheme="minorHAnsi" w:hAnsiTheme="minorHAnsi" w:eastAsiaTheme="minorEastAsia" w:cstheme="minorBidi"/>
      <w:kern w:val="2"/>
      <w:sz w:val="18"/>
    </w:rPr>
  </w:style>
  <w:style w:type="character" w:customStyle="1" w:styleId="21">
    <w:name w:val="正文首行缩进 字符"/>
    <w:basedOn w:val="19"/>
    <w:link w:val="6"/>
    <w:qFormat/>
    <w:uiPriority w:val="99"/>
    <w:rPr>
      <w:rFonts w:hAnsiTheme="minorHAnsi" w:eastAsiaTheme="minorEastAsia" w:cstheme="minorBidi"/>
      <w:kern w:val="2"/>
      <w:sz w:val="21"/>
      <w:szCs w:val="24"/>
    </w:r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列表段落1"/>
    <w:basedOn w:val="1"/>
    <w:qFormat/>
    <w:uiPriority w:val="99"/>
    <w:pPr>
      <w:ind w:firstLine="420" w:firstLineChars="200"/>
    </w:pPr>
  </w:style>
  <w:style w:type="paragraph" w:customStyle="1" w:styleId="24">
    <w:name w:val="p0"/>
    <w:basedOn w:val="1"/>
    <w:qFormat/>
    <w:uiPriority w:val="99"/>
    <w:pPr>
      <w:widowControl/>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15977</Words>
  <Characters>16977</Characters>
  <Lines>57</Lines>
  <Paragraphs>16</Paragraphs>
  <TotalTime>11</TotalTime>
  <ScaleCrop>false</ScaleCrop>
  <LinksUpToDate>false</LinksUpToDate>
  <CharactersWithSpaces>17304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2021-09-30T09:51:00Z</dcterms:created>
  <dc:creator>隆道-01</dc:creator>
  <cp:lastModifiedBy>微信用户</cp:lastModifiedBy>
  <dcterms:modified xsi:type="dcterms:W3CDTF">2022-11-16T08:46:13Z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32C32F8ABE984716B4BA604C61D9402F</vt:lpwstr>
  </property>
</Properties>
</file>