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仿宋_GB2312" w:hAnsi="仿宋" w:eastAsia="仿宋_GB2312"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心理健康公益宣传片制作</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竞争性磋商文件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pPr>
      <w:r>
        <w:rPr>
          <w:rFonts w:hint="eastAsia" w:ascii="仿宋" w:hAnsi="仿宋" w:eastAsia="仿宋"/>
          <w:color w:val="000000" w:themeColor="text1"/>
          <w:sz w:val="32"/>
          <w:szCs w:val="32"/>
          <w14:textFill>
            <w14:solidFill>
              <w14:schemeClr w14:val="tx1"/>
            </w14:solidFill>
          </w14:textFill>
        </w:rPr>
        <w:t>四川省精神医学中心</w:t>
      </w:r>
    </w:p>
    <w:p>
      <w:pPr>
        <w:pStyle w:val="3"/>
      </w:pPr>
    </w:p>
    <w:p>
      <w:pPr>
        <w:widowControl/>
        <w:spacing w:line="520" w:lineRule="exact"/>
        <w:jc w:val="center"/>
        <w:outlineLvl w:val="0"/>
        <w:rPr>
          <w:rFonts w:hint="eastAsia" w:ascii="仿宋" w:hAnsi="仿宋" w:eastAsia="仿宋" w:cs="仿宋"/>
          <w:b/>
          <w:bCs w:val="0"/>
          <w:sz w:val="36"/>
          <w:szCs w:val="32"/>
        </w:rPr>
      </w:pPr>
      <w:r>
        <w:rPr>
          <w:rFonts w:hint="eastAsia" w:ascii="仿宋" w:hAnsi="仿宋" w:eastAsia="仿宋" w:cs="仿宋"/>
          <w:b/>
          <w:bCs w:val="0"/>
          <w:sz w:val="36"/>
          <w:szCs w:val="32"/>
          <w:lang w:eastAsia="zh-CN"/>
        </w:rPr>
        <w:t>第一</w:t>
      </w:r>
      <w:r>
        <w:rPr>
          <w:rFonts w:hint="eastAsia" w:ascii="仿宋" w:hAnsi="仿宋" w:eastAsia="仿宋" w:cs="仿宋"/>
          <w:b/>
          <w:bCs w:val="0"/>
          <w:sz w:val="36"/>
          <w:szCs w:val="32"/>
          <w:lang w:val="en-US" w:eastAsia="zh-CN"/>
        </w:rPr>
        <w:t xml:space="preserve">部分 </w:t>
      </w:r>
      <w:r>
        <w:rPr>
          <w:rFonts w:hint="eastAsia" w:ascii="仿宋" w:hAnsi="仿宋" w:eastAsia="仿宋" w:cs="仿宋"/>
          <w:b/>
          <w:bCs w:val="0"/>
          <w:sz w:val="36"/>
          <w:szCs w:val="32"/>
          <w:lang w:eastAsia="zh-CN"/>
        </w:rPr>
        <w:t>磋商</w:t>
      </w:r>
      <w:r>
        <w:rPr>
          <w:rFonts w:hint="eastAsia" w:ascii="仿宋" w:hAnsi="仿宋" w:eastAsia="仿宋" w:cs="仿宋"/>
          <w:b/>
          <w:bCs w:val="0"/>
          <w:sz w:val="36"/>
          <w:szCs w:val="32"/>
        </w:rPr>
        <w:t>邀请</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val="0"/>
          <w:sz w:val="36"/>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u w:val="single"/>
          <w:lang w:val="en-US" w:eastAsia="zh-CN"/>
        </w:rPr>
      </w:pPr>
      <w:r>
        <w:rPr>
          <w:rFonts w:hint="eastAsia" w:ascii="Times New Roman" w:hAnsi="Times New Roman" w:eastAsia="仿宋" w:cs="Times New Roman"/>
          <w:sz w:val="24"/>
          <w:szCs w:val="24"/>
          <w:highlight w:val="none"/>
          <w:lang w:eastAsia="zh-CN"/>
        </w:rPr>
        <w:t>四川省精神医学中心</w:t>
      </w:r>
      <w:r>
        <w:rPr>
          <w:rFonts w:hint="eastAsia" w:ascii="Times New Roman" w:hAnsi="Times New Roman" w:eastAsia="仿宋" w:cs="Times New Roman"/>
          <w:sz w:val="24"/>
          <w:szCs w:val="24"/>
        </w:rPr>
        <w:t>拟对</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心理健康公益宣传片制作项目</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lang w:val="en-US" w:eastAsia="zh-CN"/>
        </w:rPr>
        <w:t>采用竞争性磋商方式进行采购，兹邀请符合本次磋商要求</w:t>
      </w:r>
      <w:r>
        <w:rPr>
          <w:rFonts w:hint="eastAsia" w:ascii="Times New Roman" w:hAnsi="Times New Roman" w:eastAsia="仿宋" w:cs="Times New Roman"/>
          <w:sz w:val="24"/>
          <w:szCs w:val="24"/>
          <w:u w:val="none"/>
          <w:lang w:val="en-US" w:eastAsia="zh-CN"/>
        </w:rPr>
        <w:t>的供应商参加本项目的竞争性磋商。</w:t>
      </w:r>
    </w:p>
    <w:p>
      <w:p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一、项目名称</w:t>
      </w:r>
    </w:p>
    <w:p>
      <w:pPr>
        <w:spacing w:line="520" w:lineRule="exact"/>
        <w:ind w:firstLine="480" w:firstLineChars="200"/>
        <w:outlineLvl w:val="9"/>
        <w:rPr>
          <w:rFonts w:hint="eastAsia" w:ascii="Times New Roman" w:hAnsi="Times New Roman" w:eastAsia="仿宋" w:cs="Times New Roman"/>
          <w:b w:val="0"/>
          <w:bCs/>
          <w:sz w:val="24"/>
          <w:szCs w:val="24"/>
          <w:u w:val="none"/>
          <w:lang w:val="en-US" w:eastAsia="zh-CN"/>
        </w:rPr>
      </w:pPr>
      <w:r>
        <w:rPr>
          <w:rFonts w:hint="eastAsia" w:ascii="Times New Roman" w:hAnsi="Times New Roman" w:eastAsia="仿宋" w:cs="Times New Roman"/>
          <w:b w:val="0"/>
          <w:bCs/>
          <w:sz w:val="24"/>
          <w:szCs w:val="24"/>
          <w:u w:val="none"/>
          <w:lang w:val="en-US" w:eastAsia="zh-CN"/>
        </w:rPr>
        <w:t>心理健康公益宣传片制作项目</w:t>
      </w:r>
    </w:p>
    <w:p>
      <w:pPr>
        <w:spacing w:line="520" w:lineRule="exact"/>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二、资金情况</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资金来源：已落实。</w:t>
      </w:r>
    </w:p>
    <w:p>
      <w:pPr>
        <w:spacing w:line="520" w:lineRule="exact"/>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三、项目基本情况</w:t>
      </w:r>
    </w:p>
    <w:p>
      <w:pPr>
        <w:spacing w:line="520" w:lineRule="exact"/>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    （一）项目简介：此项目为宣传片策划制作，宣传片题材范围和主要目的均为降低社会上心理疾病患病的病耻感。需要供应商自行创意，题目自拟，提供打动人心、故事线清晰、易于传播、情节生动的广告文案，容易引起受众共鸣。成片为5分钟左右。</w:t>
      </w:r>
    </w:p>
    <w:p>
      <w:pPr>
        <w:spacing w:line="520" w:lineRule="exact"/>
        <w:ind w:firstLine="480" w:firstLineChars="200"/>
        <w:outlineLvl w:val="1"/>
        <w:rPr>
          <w:rFonts w:hint="eastAsia"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（二）服务内容：</w:t>
      </w:r>
      <w:r>
        <w:rPr>
          <w:rFonts w:hint="eastAsia" w:ascii="Times New Roman" w:hAnsi="Times New Roman" w:eastAsia="仿宋" w:cs="Times New Roman"/>
          <w:sz w:val="24"/>
          <w:szCs w:val="24"/>
        </w:rPr>
        <w:t>本项目共计1个</w:t>
      </w:r>
      <w:r>
        <w:rPr>
          <w:rFonts w:hint="eastAsia" w:ascii="Times New Roman" w:hAnsi="Times New Roman" w:eastAsia="仿宋" w:cs="Times New Roman"/>
          <w:sz w:val="24"/>
          <w:szCs w:val="24"/>
          <w:lang w:val="en-US" w:eastAsia="zh-CN"/>
        </w:rPr>
        <w:t>合同</w:t>
      </w:r>
      <w:r>
        <w:rPr>
          <w:rFonts w:hint="eastAsia" w:ascii="Times New Roman" w:hAnsi="Times New Roman" w:eastAsia="仿宋" w:cs="Times New Roman"/>
          <w:sz w:val="24"/>
          <w:szCs w:val="24"/>
        </w:rPr>
        <w:t>包</w:t>
      </w:r>
      <w:r>
        <w:rPr>
          <w:rFonts w:hint="eastAsia" w:ascii="Times New Roman" w:hAnsi="Times New Roman" w:eastAsia="仿宋" w:cs="Times New Roman"/>
          <w:sz w:val="24"/>
          <w:szCs w:val="24"/>
          <w:lang w:val="en-US" w:eastAsia="zh-CN"/>
        </w:rPr>
        <w:t>件</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包含：设计、制作服务，磋商申请人须对全部服务内容进行响应</w:t>
      </w:r>
      <w:r>
        <w:rPr>
          <w:rFonts w:hint="eastAsia" w:ascii="Times New Roman" w:hAnsi="Times New Roman" w:eastAsia="仿宋" w:cs="Times New Roman"/>
          <w:sz w:val="24"/>
          <w:szCs w:val="24"/>
        </w:rPr>
        <w:t>。</w:t>
      </w:r>
    </w:p>
    <w:p>
      <w:pPr>
        <w:spacing w:line="520" w:lineRule="exact"/>
        <w:ind w:firstLine="480" w:firstLineChars="2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（三）最高限价：19.9万元，</w:t>
      </w:r>
      <w:r>
        <w:rPr>
          <w:rFonts w:hint="eastAsia" w:ascii="Times New Roman" w:hAnsi="Times New Roman" w:eastAsia="仿宋" w:cs="Times New Roman"/>
          <w:sz w:val="24"/>
          <w:szCs w:val="24"/>
          <w:highlight w:val="none"/>
          <w:lang w:val="en-US" w:eastAsia="zh-CN"/>
        </w:rPr>
        <w:t>报价应包含完成本次项目一切含税费用。</w:t>
      </w:r>
    </w:p>
    <w:p>
      <w:pPr>
        <w:spacing w:line="520" w:lineRule="exact"/>
        <w:ind w:firstLine="480" w:firstLineChars="200"/>
        <w:outlineLvl w:val="1"/>
        <w:rPr>
          <w:rFonts w:hint="eastAsia"/>
          <w:lang w:eastAsia="zh-CN"/>
        </w:rPr>
      </w:pPr>
      <w:r>
        <w:rPr>
          <w:rFonts w:hint="eastAsia" w:ascii="Times New Roman" w:hAnsi="Times New Roman" w:eastAsia="仿宋" w:cs="Times New Roman"/>
          <w:sz w:val="24"/>
          <w:szCs w:val="24"/>
          <w:lang w:val="en-US" w:eastAsia="zh-CN"/>
        </w:rPr>
        <w:t>（四）中标单位：1家。</w:t>
      </w:r>
    </w:p>
    <w:p>
      <w:pPr>
        <w:spacing w:line="520" w:lineRule="exact"/>
        <w:ind w:firstLine="482" w:firstLineChars="200"/>
        <w:outlineLvl w:val="1"/>
        <w:rPr>
          <w:rFonts w:hint="eastAsia" w:ascii="Times New Roman" w:hAnsi="Times New Roman" w:eastAsia="仿宋" w:cs="Times New Roman"/>
          <w:b/>
          <w:sz w:val="24"/>
          <w:szCs w:val="24"/>
          <w:lang w:val="en-US" w:eastAsia="zh-CN"/>
        </w:rPr>
      </w:pPr>
      <w:bookmarkStart w:id="0" w:name="_Hlk533582570"/>
      <w:r>
        <w:rPr>
          <w:rFonts w:hint="eastAsia" w:ascii="Times New Roman" w:hAnsi="Times New Roman" w:eastAsia="仿宋" w:cs="Times New Roman"/>
          <w:b/>
          <w:sz w:val="24"/>
          <w:szCs w:val="24"/>
          <w:lang w:val="en-US" w:eastAsia="zh-CN"/>
        </w:rPr>
        <w:t>四、磋商供应商要求：</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（一）在中华人民共和国境内注册，具有独立法人资格；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（二）具有良好的商业信誉和健全的财务会计制度</w:t>
      </w:r>
      <w:r>
        <w:rPr>
          <w:rFonts w:hint="eastAsia" w:ascii="Times New Roman" w:hAnsi="Times New Roman" w:eastAsia="仿宋" w:cs="Times New Roman"/>
          <w:b w:val="0"/>
          <w:bCs w:val="0"/>
          <w:kern w:val="2"/>
          <w:sz w:val="24"/>
          <w:szCs w:val="24"/>
          <w:lang w:val="en-US" w:eastAsia="zh-CN" w:bidi="ar-SA"/>
        </w:rPr>
        <w:t>；</w:t>
      </w:r>
    </w:p>
    <w:p>
      <w:pPr>
        <w:spacing w:line="520" w:lineRule="exact"/>
        <w:ind w:firstLine="720" w:firstLineChars="3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（三）具备履行合同所必需的设备和专业技术能力的证明材料；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（四）参加采购活动前三年内，在经营活动中没有重大违法记录</w:t>
      </w:r>
      <w:r>
        <w:rPr>
          <w:rFonts w:hint="eastAsia" w:ascii="Times New Roman" w:hAnsi="Times New Roman" w:eastAsia="仿宋" w:cs="Times New Roman"/>
          <w:b w:val="0"/>
          <w:bCs w:val="0"/>
          <w:kern w:val="2"/>
          <w:sz w:val="24"/>
          <w:szCs w:val="24"/>
          <w:lang w:val="en-US" w:eastAsia="zh-CN" w:bidi="ar-SA"/>
        </w:rPr>
        <w:t>；</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（五）有依法缴纳税收和社会保障资金的良好记录；</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（六）法律、行政法规规定的其他条件。</w:t>
      </w:r>
    </w:p>
    <w:bookmarkEnd w:id="0"/>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lang w:val="en-US" w:eastAsia="zh-CN"/>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eastAsia="zh-CN"/>
        </w:rPr>
        <w:t>磋商</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本次磋商邀请在</w:t>
      </w:r>
      <w:r>
        <w:rPr>
          <w:rFonts w:hint="eastAsia" w:ascii="Times New Roman" w:hAnsi="Times New Roman" w:eastAsia="仿宋" w:cs="Times New Roman"/>
          <w:sz w:val="24"/>
          <w:szCs w:val="24"/>
          <w:lang w:val="en-US" w:eastAsia="zh-CN"/>
        </w:rPr>
        <w:fldChar w:fldCharType="begin"/>
      </w:r>
      <w:r>
        <w:rPr>
          <w:rFonts w:hint="eastAsia" w:ascii="Times New Roman" w:hAnsi="Times New Roman" w:eastAsia="仿宋" w:cs="Times New Roman"/>
          <w:sz w:val="24"/>
          <w:szCs w:val="24"/>
          <w:lang w:val="en-US" w:eastAsia="zh-CN"/>
        </w:rPr>
        <w:instrText xml:space="preserve"> HYPERLINK "https://www.scsjsyxzx.com/tender_bid/" </w:instrText>
      </w:r>
      <w:r>
        <w:rPr>
          <w:rFonts w:hint="eastAsia" w:ascii="Times New Roman" w:hAnsi="Times New Roman" w:eastAsia="仿宋" w:cs="Times New Roman"/>
          <w:sz w:val="24"/>
          <w:szCs w:val="24"/>
          <w:lang w:val="en-US" w:eastAsia="zh-CN"/>
        </w:rPr>
        <w:fldChar w:fldCharType="separate"/>
      </w:r>
      <w:r>
        <w:rPr>
          <w:rFonts w:hint="eastAsia" w:ascii="Times New Roman" w:hAnsi="Times New Roman" w:eastAsia="仿宋" w:cs="Times New Roman"/>
          <w:sz w:val="24"/>
          <w:szCs w:val="24"/>
          <w:lang w:val="en-US" w:eastAsia="zh-CN"/>
        </w:rPr>
        <w:t>四川省精神医学中心【官方网站】（</w:t>
      </w:r>
      <w:r>
        <w:rPr>
          <w:rFonts w:hint="eastAsia" w:ascii="Times New Roman" w:hAnsi="Times New Roman" w:eastAsia="仿宋" w:cs="Times New Roman"/>
          <w:sz w:val="24"/>
          <w:szCs w:val="24"/>
          <w:lang w:val="en-US" w:eastAsia="zh-CN"/>
        </w:rPr>
        <w:fldChar w:fldCharType="end"/>
      </w:r>
      <w:r>
        <w:rPr>
          <w:rFonts w:hint="eastAsia" w:ascii="Times New Roman" w:hAnsi="Times New Roman" w:eastAsia="仿宋" w:cs="Times New Roman"/>
          <w:sz w:val="24"/>
          <w:szCs w:val="24"/>
          <w:lang w:val="en-US" w:eastAsia="zh-CN"/>
        </w:rPr>
        <w:t>https://www.scsjsyxzx.com）发布，进入四川省精神医学中心门户网站，免费下载磋商文件。</w:t>
      </w:r>
    </w:p>
    <w:p>
      <w:pPr>
        <w:tabs>
          <w:tab w:val="left" w:pos="6255"/>
        </w:tabs>
        <w:spacing w:line="520" w:lineRule="exact"/>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lang w:val="en-US" w:eastAsia="zh-CN"/>
        </w:rPr>
        <w:t>六</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eastAsia="zh-CN"/>
        </w:rPr>
        <w:t>磋商</w:t>
      </w:r>
      <w:r>
        <w:rPr>
          <w:rFonts w:hint="eastAsia" w:ascii="Times New Roman" w:hAnsi="Times New Roman" w:eastAsia="仿宋" w:cs="Times New Roman"/>
          <w:b/>
          <w:sz w:val="24"/>
          <w:szCs w:val="24"/>
        </w:rPr>
        <w:t>文件获取</w:t>
      </w:r>
      <w:r>
        <w:rPr>
          <w:rFonts w:hint="eastAsia" w:ascii="Times New Roman" w:hAnsi="Times New Roman" w:eastAsia="仿宋" w:cs="Times New Roman"/>
          <w:b/>
          <w:sz w:val="24"/>
          <w:szCs w:val="24"/>
          <w:lang w:val="en-US" w:eastAsia="zh-CN"/>
        </w:rPr>
        <w:t>的</w:t>
      </w:r>
      <w:r>
        <w:rPr>
          <w:rFonts w:hint="eastAsia" w:ascii="Times New Roman" w:hAnsi="Times New Roman" w:eastAsia="仿宋" w:cs="Times New Roman"/>
          <w:b/>
          <w:sz w:val="24"/>
          <w:szCs w:val="24"/>
        </w:rPr>
        <w:t>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获取时间：2023年5月5日至2023年5月11日（北京时间）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（9:00-12:00；13:00-17:</w:t>
      </w:r>
      <w:r>
        <w:rPr>
          <w:rFonts w:hint="eastAsia" w:hAnsi="Times New Roman" w:eastAsia="仿宋" w:cs="Times New Roman"/>
          <w:b w:val="0"/>
          <w:bCs w:val="0"/>
          <w:kern w:val="2"/>
          <w:sz w:val="24"/>
          <w:szCs w:val="24"/>
          <w:lang w:val="en-US" w:eastAsia="zh-CN" w:bidi="ar-SA"/>
        </w:rPr>
        <w:t>0</w:t>
      </w:r>
      <w:r>
        <w:rPr>
          <w:rFonts w:hint="eastAsia" w:ascii="Times New Roman" w:hAnsi="Times New Roman" w:eastAsia="仿宋" w:cs="Times New Roman"/>
          <w:b w:val="0"/>
          <w:bCs w:val="0"/>
          <w:kern w:val="2"/>
          <w:sz w:val="24"/>
          <w:szCs w:val="24"/>
          <w:lang w:val="en-US" w:eastAsia="zh-CN" w:bidi="ar-SA"/>
        </w:rPr>
        <w:t>0）（节假日除外）</w:t>
      </w:r>
    </w:p>
    <w:p>
      <w:pPr>
        <w:pStyle w:val="3"/>
        <w:rPr>
          <w:rFonts w:hint="eastAsia"/>
          <w:lang w:val="en-US" w:eastAsia="zh-CN"/>
        </w:rPr>
      </w:pPr>
    </w:p>
    <w:p>
      <w:pPr>
        <w:widowControl/>
        <w:numPr>
          <w:ilvl w:val="0"/>
          <w:numId w:val="0"/>
        </w:numPr>
        <w:spacing w:line="520" w:lineRule="exact"/>
        <w:ind w:firstLine="1446" w:firstLineChars="400"/>
        <w:jc w:val="both"/>
        <w:outlineLvl w:val="0"/>
        <w:rPr>
          <w:rFonts w:hint="default" w:ascii="仿宋" w:hAnsi="仿宋" w:eastAsia="仿宋" w:cs="仿宋"/>
          <w:b/>
          <w:bCs w:val="0"/>
          <w:sz w:val="36"/>
          <w:szCs w:val="32"/>
          <w:lang w:val="en-US" w:eastAsia="zh-CN"/>
        </w:rPr>
      </w:pPr>
      <w:r>
        <w:rPr>
          <w:rFonts w:hint="eastAsia" w:ascii="仿宋" w:hAnsi="仿宋" w:eastAsia="仿宋" w:cs="仿宋"/>
          <w:b/>
          <w:bCs w:val="0"/>
          <w:sz w:val="36"/>
          <w:szCs w:val="32"/>
          <w:lang w:val="en-US" w:eastAsia="zh-CN"/>
        </w:rPr>
        <w:t xml:space="preserve">第二部分  </w:t>
      </w:r>
      <w:r>
        <w:rPr>
          <w:rFonts w:hint="eastAsia" w:ascii="仿宋" w:hAnsi="仿宋" w:eastAsia="仿宋" w:cs="仿宋"/>
          <w:b/>
          <w:bCs w:val="0"/>
          <w:sz w:val="36"/>
          <w:szCs w:val="32"/>
          <w:lang w:eastAsia="zh-CN"/>
        </w:rPr>
        <w:t>磋商</w:t>
      </w:r>
      <w:r>
        <w:rPr>
          <w:rFonts w:hint="eastAsia" w:ascii="仿宋" w:hAnsi="仿宋" w:eastAsia="仿宋" w:cs="仿宋"/>
          <w:b/>
          <w:bCs w:val="0"/>
          <w:sz w:val="36"/>
          <w:szCs w:val="32"/>
          <w:lang w:val="en-US" w:eastAsia="zh-CN"/>
        </w:rPr>
        <w:t xml:space="preserve">须知 </w:t>
      </w:r>
    </w:p>
    <w:p>
      <w:pPr>
        <w:pStyle w:val="3"/>
        <w:ind w:left="0" w:leftChars="0" w:firstLine="0" w:firstLineChars="0"/>
        <w:rPr>
          <w:rFonts w:hint="default"/>
          <w:lang w:val="en-US" w:eastAsia="zh-CN"/>
        </w:rPr>
      </w:pPr>
      <w:r>
        <w:rPr>
          <w:rFonts w:hint="eastAsia"/>
          <w:lang w:val="en-US" w:eastAsia="zh-CN"/>
        </w:rPr>
        <w:t xml:space="preserve"> </w:t>
      </w:r>
    </w:p>
    <w:p>
      <w:pPr>
        <w:numPr>
          <w:ilvl w:val="0"/>
          <w:numId w:val="0"/>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一、响应供应商资质条件（实质性要求）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（一）响应供应商在中华人民共和国境内注册，具有独立法人资格、有效的营业执照；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（二）响应供应商须具有履行合同所必需的设备和专业技术能力；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（三）参加本次采购活动前三年内，在经营活动中没有重大违法记录（需提供承诺函）；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strike/>
          <w:dstrike w:val="0"/>
          <w:kern w:val="2"/>
          <w:sz w:val="24"/>
          <w:szCs w:val="24"/>
          <w:highlight w:val="none"/>
          <w:lang w:val="en-US" w:eastAsia="zh-CN" w:bidi="ar-SA"/>
        </w:rPr>
      </w:pPr>
      <w:r>
        <w:rPr>
          <w:rFonts w:hint="eastAsia" w:ascii="Times New Roman" w:hAnsi="Times New Roman" w:eastAsia="仿宋" w:cs="Times New Roman"/>
          <w:b w:val="0"/>
          <w:bCs w:val="0"/>
          <w:kern w:val="2"/>
          <w:sz w:val="24"/>
          <w:szCs w:val="24"/>
          <w:lang w:val="en-US" w:eastAsia="zh-CN" w:bidi="ar-SA"/>
        </w:rPr>
        <w:t>（四）财务状况良好</w:t>
      </w:r>
      <w:r>
        <w:rPr>
          <w:rFonts w:hint="eastAsia" w:hAnsi="Times New Roman" w:eastAsia="仿宋" w:cs="Times New Roman"/>
          <w:b w:val="0"/>
          <w:bCs w:val="0"/>
          <w:kern w:val="2"/>
          <w:sz w:val="24"/>
          <w:szCs w:val="24"/>
          <w:lang w:val="en-US" w:eastAsia="zh-CN" w:bidi="ar-SA"/>
        </w:rPr>
        <w:t>（需提供近3个月的社保证明、完税证明、2021年或2022年的财务审计报告或2021年或2022年供应商内部的财务报表复印件或供应商截至提交首次响应文件截止日一年内银行出具的资信证明复印件，供应商注册时间截至提交首次响应文件截止日不足一年的，也可提供工商管理部门备案的公司章程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（五）本项目不接受联合体。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以上资料提供复印件并加盖公章，且必须齐全。</w:t>
      </w:r>
    </w:p>
    <w:p>
      <w:pPr>
        <w:numPr>
          <w:ilvl w:val="0"/>
          <w:numId w:val="1"/>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商务要求（实质性要求）</w:t>
      </w:r>
    </w:p>
    <w:tbl>
      <w:tblPr>
        <w:tblStyle w:val="12"/>
        <w:tblpPr w:leftFromText="180" w:rightFromText="180" w:vertAnchor="text" w:horzAnchor="page" w:tblpX="251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237"/>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237" w:type="dxa"/>
          </w:tcPr>
          <w:p>
            <w:pPr>
              <w:pStyle w:val="2"/>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3850" w:type="dxa"/>
          </w:tcPr>
          <w:p>
            <w:pPr>
              <w:pStyle w:val="2"/>
              <w:widowControl w:val="0"/>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1</w:t>
            </w:r>
          </w:p>
        </w:tc>
        <w:tc>
          <w:tcPr>
            <w:tcW w:w="223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完成项目时间</w:t>
            </w:r>
          </w:p>
        </w:tc>
        <w:tc>
          <w:tcPr>
            <w:tcW w:w="38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2</w:t>
            </w:r>
          </w:p>
        </w:tc>
        <w:tc>
          <w:tcPr>
            <w:tcW w:w="223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服务地点</w:t>
            </w:r>
          </w:p>
        </w:tc>
        <w:tc>
          <w:tcPr>
            <w:tcW w:w="38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3</w:t>
            </w:r>
          </w:p>
        </w:tc>
        <w:tc>
          <w:tcPr>
            <w:tcW w:w="223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报价</w:t>
            </w:r>
          </w:p>
        </w:tc>
        <w:tc>
          <w:tcPr>
            <w:tcW w:w="38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报价应是完成本项目所有采购内容和磋商文件规定的其他全部费用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4</w:t>
            </w:r>
          </w:p>
        </w:tc>
        <w:tc>
          <w:tcPr>
            <w:tcW w:w="223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合同价款支付</w:t>
            </w:r>
          </w:p>
        </w:tc>
        <w:tc>
          <w:tcPr>
            <w:tcW w:w="38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合同签订后支付30%，全部项目完成并验收合格后支付70%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0" w:firstLineChars="1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5</w:t>
            </w:r>
          </w:p>
        </w:tc>
        <w:tc>
          <w:tcPr>
            <w:tcW w:w="223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验收标准及要求</w:t>
            </w:r>
          </w:p>
        </w:tc>
        <w:tc>
          <w:tcPr>
            <w:tcW w:w="385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按采购人要求或合同约定</w:t>
            </w:r>
            <w:r>
              <w:rPr>
                <w:rFonts w:hint="eastAsia" w:ascii="Times New Roman" w:hAnsi="Times New Roman" w:eastAsia="仿宋" w:cs="Times New Roman"/>
                <w:b w:val="0"/>
                <w:bCs w:val="0"/>
                <w:kern w:val="2"/>
                <w:sz w:val="24"/>
                <w:szCs w:val="24"/>
                <w:lang w:val="en-US" w:eastAsia="zh-CN" w:bidi="ar-SA"/>
              </w:rPr>
              <w:t>进行验收</w:t>
            </w:r>
          </w:p>
        </w:tc>
      </w:tr>
    </w:tbl>
    <w:p>
      <w:pPr>
        <w:pStyle w:val="2"/>
        <w:widowControl w:val="0"/>
        <w:numPr>
          <w:ilvl w:val="0"/>
          <w:numId w:val="0"/>
        </w:numPr>
        <w:jc w:val="both"/>
        <w:rPr>
          <w:rFonts w:hint="default"/>
          <w:vertAlign w:val="baseline"/>
          <w:lang w:val="en-US" w:eastAsia="zh-CN"/>
        </w:rPr>
      </w:pPr>
      <w:r>
        <w:rPr>
          <w:rFonts w:hint="eastAsia"/>
          <w:lang w:val="en-US" w:eastAsia="zh-CN"/>
        </w:rPr>
        <w:t xml:space="preserve">    </w:t>
      </w:r>
    </w:p>
    <w:p>
      <w:pPr>
        <w:pStyle w:val="2"/>
        <w:widowControl w:val="0"/>
        <w:numPr>
          <w:ilvl w:val="0"/>
          <w:numId w:val="0"/>
        </w:numPr>
        <w:jc w:val="both"/>
        <w:rPr>
          <w:rFonts w:hint="default"/>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numPr>
          <w:ilvl w:val="0"/>
          <w:numId w:val="0"/>
        </w:numPr>
        <w:spacing w:line="520" w:lineRule="exact"/>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三、合同签订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 w:cs="Times New Roman"/>
          <w:b/>
          <w:sz w:val="24"/>
          <w:szCs w:val="24"/>
          <w:lang w:val="en-US" w:eastAsia="zh-CN"/>
        </w:rPr>
      </w:pPr>
      <w:r>
        <w:rPr>
          <w:rFonts w:hint="eastAsia" w:hAnsi="Times New Roman" w:eastAsia="仿宋" w:cs="Times New Roman"/>
          <w:b w:val="0"/>
          <w:bCs w:val="0"/>
          <w:kern w:val="2"/>
          <w:sz w:val="24"/>
          <w:szCs w:val="24"/>
          <w:lang w:val="en-US" w:eastAsia="zh-CN" w:bidi="ar-SA"/>
        </w:rPr>
        <w:t>成交供应商应在成交公告发布之日起30日内与采购人签订采购合同。由于成交供应商的原因逾期未与采购人签订采购合同的，将视为放弃成交，取消其成交资格并将按相关规定进行处理。</w:t>
      </w:r>
    </w:p>
    <w:p>
      <w:pPr>
        <w:numPr>
          <w:ilvl w:val="0"/>
          <w:numId w:val="0"/>
        </w:numPr>
        <w:spacing w:line="520" w:lineRule="exact"/>
        <w:ind w:left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四、履约保证金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1.履约保证金金额：成交供应商按成交金额10%交纳履约保证金，交纳时间及方式按采购人指定或合同约定执行。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2.履约保证金退还方式及时间：按采购人指定或合同约定执行。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3.履约保证金不予退还情形：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（1）成交人不履行采购人订立合同的，给采购人造成的损失超过履约保证金数额的，还应当对超过部分予以赔偿；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（2）项目验收结果不合格的；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（3）其他违反国家相关法律法规的情形；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（4）采购文件中规定不予退还的情形。</w:t>
      </w:r>
    </w:p>
    <w:p>
      <w:pPr>
        <w:numPr>
          <w:ilvl w:val="0"/>
          <w:numId w:val="0"/>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五、履行合同及验收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（1）成交供应商与采购人签订合同后，合同双方应严格执行合同条款，履行合同规定的义务，保证合同的顺利完成；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（2）在合同履行过程中，如发生合同纠纷，合同双方应按照相关法律、法规的有关规定进行处理；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hAnsi="Times New Roman" w:eastAsia="仿宋" w:cs="Times New Roman"/>
          <w:b w:val="0"/>
          <w:bCs w:val="0"/>
          <w:kern w:val="2"/>
          <w:sz w:val="24"/>
          <w:szCs w:val="24"/>
          <w:lang w:val="en-US" w:eastAsia="zh-CN" w:bidi="ar-SA"/>
        </w:rPr>
      </w:pPr>
      <w:r>
        <w:rPr>
          <w:rFonts w:hint="eastAsia" w:hAnsi="Times New Roman" w:eastAsia="仿宋" w:cs="Times New Roman"/>
          <w:b w:val="0"/>
          <w:bCs w:val="0"/>
          <w:kern w:val="2"/>
          <w:sz w:val="24"/>
          <w:szCs w:val="24"/>
          <w:lang w:val="en-US" w:eastAsia="zh-CN" w:bidi="ar-SA"/>
        </w:rPr>
        <w:t>（3）验收：按采购人指定或合同约定的方式执行。</w:t>
      </w:r>
    </w:p>
    <w:p>
      <w:pPr>
        <w:numPr>
          <w:ilvl w:val="0"/>
          <w:numId w:val="0"/>
        </w:numPr>
        <w:spacing w:line="520" w:lineRule="exact"/>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六、支付合同价款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sz w:val="24"/>
          <w:szCs w:val="24"/>
          <w:lang w:val="en-US" w:eastAsia="zh-CN"/>
        </w:rPr>
      </w:pPr>
      <w:r>
        <w:rPr>
          <w:rFonts w:hint="eastAsia" w:hAnsi="Times New Roman" w:eastAsia="仿宋" w:cs="Times New Roman"/>
          <w:b w:val="0"/>
          <w:bCs w:val="0"/>
          <w:kern w:val="2"/>
          <w:sz w:val="24"/>
          <w:szCs w:val="24"/>
          <w:lang w:val="en-US" w:eastAsia="zh-CN" w:bidi="ar-SA"/>
        </w:rPr>
        <w:t>采购人将参照采购合同规定，验收合格后采购人按合同约定的时间、方式向成交供应商支付采购资金。</w:t>
      </w:r>
    </w:p>
    <w:p>
      <w:p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七、具体服务要求（实质性要求）：</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w:t>
      </w:r>
      <w:r>
        <w:rPr>
          <w:rFonts w:hint="default" w:ascii="Times New Roman" w:hAnsi="Times New Roman" w:eastAsia="仿宋" w:cs="Times New Roman"/>
          <w:sz w:val="24"/>
          <w:szCs w:val="24"/>
          <w:lang w:val="en-US" w:eastAsia="zh-CN"/>
        </w:rPr>
        <w:t xml:space="preserve">广告文案、创意要求和主题要求： 宣传片题材范围和主要目的均为降低社会上心理疾病患病的病耻感。自行创意，题目自拟，提供打动人心、故事线清晰、易于传播、情节生动的广告文案，容易引起受众共鸣。                                 </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w:t>
      </w:r>
      <w:r>
        <w:rPr>
          <w:rFonts w:hint="default" w:ascii="Times New Roman" w:hAnsi="Times New Roman" w:eastAsia="仿宋" w:cs="Times New Roman"/>
          <w:sz w:val="24"/>
          <w:szCs w:val="24"/>
          <w:lang w:val="en-US" w:eastAsia="zh-CN"/>
        </w:rPr>
        <w:t xml:space="preserve">根据剧情设定，要专业演员拍摄，拍摄演员选择符合人物角色形象、专业功底强。   </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w:t>
      </w:r>
      <w:r>
        <w:rPr>
          <w:rFonts w:hint="default" w:ascii="Times New Roman" w:hAnsi="Times New Roman" w:eastAsia="仿宋" w:cs="Times New Roman"/>
          <w:sz w:val="24"/>
          <w:szCs w:val="24"/>
          <w:lang w:val="en-US" w:eastAsia="zh-CN"/>
        </w:rPr>
        <w:t>采用最新高清拍摄设备拍摄；以无压缩方式输出成片；画面精美，声情并茂，内容具有感染力，视觉冲击力强。</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w:t>
      </w:r>
      <w:r>
        <w:rPr>
          <w:rFonts w:hint="default" w:ascii="Times New Roman" w:hAnsi="Times New Roman" w:eastAsia="仿宋" w:cs="Times New Roman"/>
          <w:sz w:val="24"/>
          <w:szCs w:val="24"/>
          <w:lang w:val="en-US" w:eastAsia="zh-CN"/>
        </w:rPr>
        <w:t>成片为5分钟左右的宣传短片</w:t>
      </w:r>
      <w:r>
        <w:rPr>
          <w:rFonts w:hint="eastAsia" w:ascii="Times New Roman" w:hAnsi="Times New Roman" w:eastAsia="仿宋" w:cs="Times New Roman"/>
          <w:sz w:val="24"/>
          <w:szCs w:val="24"/>
          <w:highlight w:val="none"/>
          <w:lang w:val="en-US" w:eastAsia="zh-CN"/>
        </w:rPr>
        <w:t>，包含中英文字幕</w:t>
      </w:r>
      <w:r>
        <w:rPr>
          <w:rFonts w:hint="default" w:ascii="Times New Roman" w:hAnsi="Times New Roman" w:eastAsia="仿宋" w:cs="Times New Roman"/>
          <w:sz w:val="24"/>
          <w:szCs w:val="24"/>
          <w:lang w:val="en-US" w:eastAsia="zh-CN"/>
        </w:rPr>
        <w:t>。</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（五）</w:t>
      </w:r>
      <w:r>
        <w:rPr>
          <w:rFonts w:hint="default" w:ascii="Times New Roman" w:hAnsi="Times New Roman" w:eastAsia="仿宋" w:cs="Times New Roman"/>
          <w:sz w:val="24"/>
          <w:szCs w:val="24"/>
          <w:lang w:val="en-US" w:eastAsia="zh-CN"/>
        </w:rPr>
        <w:t>宣传片交片后免费提供成品格式转换和成品微调剪辑服务。</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（六）</w:t>
      </w:r>
      <w:r>
        <w:rPr>
          <w:rFonts w:hint="default" w:ascii="Times New Roman" w:hAnsi="Times New Roman" w:eastAsia="仿宋" w:cs="Times New Roman"/>
          <w:sz w:val="24"/>
          <w:szCs w:val="24"/>
          <w:lang w:val="en-US" w:eastAsia="zh-CN"/>
        </w:rPr>
        <w:t>专题片的设计思路、文稿撰写、演员、摄制编辑、配音配乐、字幕制作等由广告公司负责，医院配合提供相应素材。</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（七）</w:t>
      </w:r>
      <w:r>
        <w:rPr>
          <w:rFonts w:hint="default" w:ascii="Times New Roman" w:hAnsi="Times New Roman" w:eastAsia="仿宋" w:cs="Times New Roman"/>
          <w:sz w:val="24"/>
          <w:szCs w:val="24"/>
          <w:lang w:val="en-US" w:eastAsia="zh-CN"/>
        </w:rPr>
        <w:t>制作团队：制作团队要求精良。（须提供制作团队介绍及主创人员履历。主创人员包括：导演、摄影师、剪辑师、配音、特效及动画制作团队。提供奖项相关证明文件。）</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（八）</w:t>
      </w:r>
      <w:r>
        <w:rPr>
          <w:rFonts w:hint="default" w:ascii="Times New Roman" w:hAnsi="Times New Roman" w:eastAsia="仿宋" w:cs="Times New Roman"/>
          <w:sz w:val="24"/>
          <w:szCs w:val="24"/>
          <w:lang w:val="en-US" w:eastAsia="zh-CN"/>
        </w:rPr>
        <w:t>影视分镜头制作：提供基础故事脚本。导演按照剧本的总体构思，将情节内容以镜头为基本单位，划分出不同的景别、角度、声画形式、镜头关系等，成交后需提供分镜头制作脚本。</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（九）</w:t>
      </w:r>
      <w:r>
        <w:rPr>
          <w:rFonts w:hint="default" w:ascii="Times New Roman" w:hAnsi="Times New Roman" w:eastAsia="仿宋" w:cs="Times New Roman"/>
          <w:sz w:val="24"/>
          <w:szCs w:val="24"/>
          <w:lang w:val="en-US" w:eastAsia="zh-CN"/>
        </w:rPr>
        <w:t>设备：使用电影级摄影机（例如Arri Alexa，Black Magic，Red等），所采用拍摄设备达到4K标准。</w:t>
      </w:r>
    </w:p>
    <w:p>
      <w:pPr>
        <w:spacing w:line="520" w:lineRule="exact"/>
        <w:ind w:firstLine="480" w:firstLineChars="200"/>
        <w:outlineLvl w:val="1"/>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（十）</w:t>
      </w:r>
      <w:r>
        <w:rPr>
          <w:rFonts w:hint="default" w:ascii="Times New Roman" w:hAnsi="Times New Roman" w:eastAsia="仿宋" w:cs="Times New Roman"/>
          <w:sz w:val="24"/>
          <w:szCs w:val="24"/>
          <w:lang w:val="en-US" w:eastAsia="zh-CN"/>
        </w:rPr>
        <w:t>拍摄地点需涵盖四川省精神医学中心，宣传片需要涵盖本医院元素。</w:t>
      </w:r>
    </w:p>
    <w:p>
      <w:pPr>
        <w:spacing w:line="520" w:lineRule="exact"/>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八、质量要求（实质性要求）：</w:t>
      </w:r>
    </w:p>
    <w:p>
      <w:pPr>
        <w:spacing w:line="520" w:lineRule="exact"/>
        <w:ind w:firstLine="480" w:firstLineChars="2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（一）宣传片要具有高水准的艺术效果，脚本构思和设计有较强的创意性。</w:t>
      </w:r>
    </w:p>
    <w:p>
      <w:pPr>
        <w:spacing w:line="520" w:lineRule="exact"/>
        <w:ind w:firstLine="480" w:firstLineChars="2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（二）达到国家、省级电视台播出标准。画面比例为16:9，遵守国家广播电视总局发布的《广播电视管理条例》第三十二条规定。</w:t>
      </w:r>
    </w:p>
    <w:p>
      <w:pPr>
        <w:spacing w:line="520" w:lineRule="exact"/>
        <w:ind w:firstLine="482" w:firstLineChars="200"/>
        <w:outlineLvl w:val="1"/>
        <w:rPr>
          <w:rFonts w:hint="default"/>
          <w:lang w:val="en-US" w:eastAsia="zh-CN"/>
        </w:rPr>
      </w:pPr>
      <w:r>
        <w:rPr>
          <w:rFonts w:hint="eastAsia" w:ascii="Times New Roman" w:hAnsi="Times New Roman" w:eastAsia="仿宋" w:cs="Times New Roman"/>
          <w:b/>
          <w:sz w:val="24"/>
          <w:szCs w:val="24"/>
          <w:lang w:val="en-US" w:eastAsia="zh-CN"/>
        </w:rPr>
        <w:t>九、履约能力要求（实质性要求）:</w:t>
      </w:r>
      <w:r>
        <w:rPr>
          <w:rFonts w:hint="eastAsia" w:ascii="Times New Roman" w:hAnsi="Times New Roman" w:eastAsia="仿宋" w:cs="Times New Roman"/>
          <w:sz w:val="24"/>
          <w:szCs w:val="24"/>
          <w:lang w:val="en-US" w:eastAsia="zh-CN"/>
        </w:rPr>
        <w:t>提供过往宣传片案例。</w:t>
      </w:r>
    </w:p>
    <w:p>
      <w:p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十、磋商须知（实质性要求）：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lang w:val="en-US" w:eastAsia="zh-CN"/>
        </w:rPr>
        <w:t>（一）</w:t>
      </w:r>
      <w:r>
        <w:rPr>
          <w:rFonts w:hint="eastAsia" w:ascii="Times New Roman" w:hAnsi="Times New Roman" w:eastAsia="仿宋" w:cs="Times New Roman"/>
          <w:sz w:val="24"/>
          <w:szCs w:val="24"/>
          <w:highlight w:val="none"/>
          <w:lang w:val="en-US" w:eastAsia="zh-CN"/>
        </w:rPr>
        <w:t>本文件规定外，采购人在磋商期间发出的其他补充函件或文件修改均是磋商文件的重要组成，对投标人起到约束作用。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（三）不论磋商结果如何，磋商供应商的响应文件不退回，且不对成交供应商作任何解释；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（四）参与磋商产生的一切费用由磋商供应商自行承担；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（五）签订合同以采购人版本为准。</w:t>
      </w:r>
    </w:p>
    <w:p>
      <w:pPr>
        <w:pStyle w:val="2"/>
        <w:rPr>
          <w:rFonts w:hint="eastAsia" w:ascii="Times New Roman" w:hAnsi="Times New Roman" w:eastAsia="仿宋" w:cs="Times New Roman"/>
          <w:sz w:val="24"/>
          <w:szCs w:val="24"/>
          <w:lang w:val="en-US" w:eastAsia="zh-CN"/>
        </w:rPr>
      </w:pPr>
    </w:p>
    <w:p>
      <w:pPr>
        <w:numPr>
          <w:ilvl w:val="0"/>
          <w:numId w:val="0"/>
        </w:numPr>
        <w:jc w:val="center"/>
        <w:rPr>
          <w:rFonts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第三部分  响应</w:t>
      </w:r>
      <w:r>
        <w:rPr>
          <w:rFonts w:hint="eastAsia" w:ascii="仿宋_GB2312" w:hAnsi="仿宋" w:eastAsia="仿宋_GB2312"/>
          <w:b/>
          <w:bCs/>
          <w:color w:val="000000" w:themeColor="text1"/>
          <w:sz w:val="32"/>
          <w:szCs w:val="32"/>
          <w14:textFill>
            <w14:solidFill>
              <w14:schemeClr w14:val="tx1"/>
            </w14:solidFill>
          </w14:textFill>
        </w:rPr>
        <w:t>文件的编制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一、磋商文件的语言：采购人和供应商之间的所有函件往来必须使用汉语语言文字。（实质性要求）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二、响应文件的组成（部分文件要求及格式见附件，实质性要求）：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 评标要素索引表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 资格要求的响应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 技术参数的响应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（四） 商务要求的响应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（投标文件每页资料必须逐页加盖公司鲜章）</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ascii="Times New Roman" w:hAnsi="Times New Roman" w:eastAsia="仿宋" w:cs="Times New Roman"/>
          <w:sz w:val="24"/>
          <w:szCs w:val="24"/>
          <w:lang w:val="en-US" w:eastAsia="zh-CN"/>
        </w:rPr>
        <w:t>注：供应商编写的响应文件应包括资格性响应文件和其他响应文件两部分，分册装订。</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80" w:leftChars="0" w:firstLine="0" w:firstLineChars="0"/>
        <w:textAlignment w:val="auto"/>
        <w:rPr>
          <w:rFonts w:hint="default"/>
          <w:lang w:val="en-US" w:eastAsia="zh-CN"/>
        </w:rPr>
      </w:pPr>
      <w:r>
        <w:rPr>
          <w:rFonts w:hint="eastAsia" w:ascii="Times New Roman" w:hAnsi="Times New Roman" w:eastAsia="仿宋" w:cs="Times New Roman"/>
          <w:b/>
          <w:sz w:val="24"/>
          <w:szCs w:val="24"/>
          <w:lang w:val="en-US" w:eastAsia="zh-CN"/>
        </w:rPr>
        <w:t>计量单位（实质性要求）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atLeast"/>
        <w:ind w:firstLine="480" w:firstLineChars="200"/>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除磋商文件中另有规定外，本次采购项目所有合同项下的报价均采用国家法定的计量单位。</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20" w:lineRule="atLeast"/>
        <w:ind w:left="420" w:leftChars="0" w:firstLine="0" w:firstLineChars="0"/>
        <w:textAlignment w:val="auto"/>
        <w:rPr>
          <w:rFonts w:hint="eastAsia" w:ascii="Times New Roman" w:hAnsi="Times New Roman" w:eastAsia="仿宋" w:cs="Times New Roman"/>
          <w:b/>
          <w:kern w:val="2"/>
          <w:sz w:val="24"/>
          <w:szCs w:val="24"/>
          <w:lang w:val="en-US" w:eastAsia="zh-CN" w:bidi="ar-SA"/>
        </w:rPr>
      </w:pPr>
      <w:r>
        <w:rPr>
          <w:rFonts w:hint="eastAsia" w:ascii="Times New Roman" w:hAnsi="Times New Roman" w:eastAsia="仿宋" w:cs="Times New Roman"/>
          <w:b/>
          <w:kern w:val="2"/>
          <w:sz w:val="24"/>
          <w:szCs w:val="24"/>
          <w:lang w:val="en-US" w:eastAsia="zh-CN" w:bidi="ar-SA"/>
        </w:rPr>
        <w:t>报价（实质性要求）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（一）本次磋商项目的报价货币为人民币，报价以磋商文件规定为准。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二）供应商的报价应以本项目采购需求、供应商自身的技术和管理水平、运营成本等因素为依据，是供应商响应采购项目需求的全部工作内容的价格体现，是最终用户验收合格后的总价，包含了供应商完成本项目所需的一切费用，即项目包干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（三）1.每个标的只允许有一个报价，供应商提交的响应文件中有多轮报价的，以最后一轮报价为其有效报价，并且在合同履行过程中是固定不变的，任何有选择的报价将不予接受，并按无效响应处理；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lang w:val="en-US" w:eastAsia="zh-CN"/>
        </w:rPr>
      </w:pPr>
      <w:r>
        <w:rPr>
          <w:rFonts w:hint="eastAsia" w:ascii="Times New Roman" w:hAnsi="Times New Roman" w:eastAsia="仿宋" w:cs="Times New Roman"/>
          <w:sz w:val="24"/>
          <w:szCs w:val="24"/>
          <w:lang w:val="en-US" w:eastAsia="zh-CN"/>
        </w:rPr>
        <w:t>2.供应商的报价不得高于本项目所设的最高限价，供应商的报价高于本项目所设最高限价的，其响应文件作无效处理。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Fonts w:hint="eastAsia"/>
          <w:lang w:val="en-US" w:eastAsia="zh-CN"/>
        </w:rPr>
      </w:pPr>
      <w:r>
        <w:rPr>
          <w:rFonts w:hint="eastAsia" w:ascii="Times New Roman" w:hAnsi="Times New Roman" w:eastAsia="仿宋" w:cs="Times New Roman"/>
          <w:b/>
          <w:sz w:val="24"/>
          <w:szCs w:val="24"/>
          <w:lang w:val="en-US" w:eastAsia="zh-CN"/>
        </w:rPr>
        <w:t>五、响应文件正本一份，副本两份。</w:t>
      </w:r>
    </w:p>
    <w:p>
      <w:pPr>
        <w:pStyle w:val="3"/>
        <w:rPr>
          <w:rFonts w:hint="eastAsia"/>
          <w:lang w:val="en-US" w:eastAsia="zh-CN"/>
        </w:rPr>
      </w:pPr>
    </w:p>
    <w:p>
      <w:pPr>
        <w:numPr>
          <w:ilvl w:val="0"/>
          <w:numId w:val="4"/>
        </w:numPr>
        <w:ind w:firstLine="964" w:firstLineChars="300"/>
        <w:jc w:val="center"/>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b/>
          <w:bCs/>
          <w:color w:val="000000" w:themeColor="text1"/>
          <w:sz w:val="32"/>
          <w:szCs w:val="32"/>
          <w14:textFill>
            <w14:solidFill>
              <w14:schemeClr w14:val="tx1"/>
            </w14:solidFill>
          </w14:textFill>
        </w:rPr>
        <w:t>磋商、评选与成交通知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一、磋商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磋商小组正式评审前，应当对磋商文件进行熟悉和理解，内容主要包括磋商文件中供应商资格条件要求，采购项目技术、服务和商务要求、磋商办法和标准、竞争性磋商合同主要条款等。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lang w:val="en-US" w:eastAsia="zh-CN"/>
        </w:rPr>
      </w:pPr>
      <w:r>
        <w:rPr>
          <w:rFonts w:hint="eastAsia" w:ascii="Times New Roman" w:hAnsi="Times New Roman" w:eastAsia="仿宋" w:cs="Times New Roman"/>
          <w:sz w:val="24"/>
          <w:szCs w:val="24"/>
          <w:lang w:val="en-US" w:eastAsia="zh-CN"/>
        </w:rPr>
        <w:t>磋商小组所有成员集中与符合磋商文件要求的单一供应商分别进行一轮或多轮磋商，并给予所有参与磋商的供应商平等的磋商机会。磋商顺序以现场抽签的方式确定。磋商过程中，磋商小组可以根据磋商情况调整磋商轮次。</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二</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val="en-US" w:eastAsia="zh-CN"/>
        </w:rPr>
        <w:t>评审方式：综合评分法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lang w:val="en-US" w:eastAsia="zh-CN"/>
        </w:rPr>
      </w:pPr>
      <w:r>
        <w:rPr>
          <w:rFonts w:hint="eastAsia" w:ascii="Times New Roman" w:hAnsi="Times New Roman" w:eastAsia="仿宋" w:cs="Times New Roman"/>
          <w:sz w:val="24"/>
          <w:szCs w:val="24"/>
          <w:lang w:val="en-US" w:eastAsia="zh-CN"/>
        </w:rPr>
        <w:t>即供应商通过资格审查，且满足磋商文件全部实质性要求，且按照评审因素的量化指标评审得分，综合得分最高的供应商为本项目的第一中选人，若得分相同价格低的为中选人，若价格也相同则采取抽签的方式确定成交人。</w:t>
      </w:r>
    </w:p>
    <w:p>
      <w:pPr>
        <w:numPr>
          <w:ilvl w:val="0"/>
          <w:numId w:val="0"/>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三、下列情况之一将被视为无效投标：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（一）响应文件未按照磋商文件的要求编制；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（二）响应文件中的资料未加盖磋商单位的公章；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（三）报价若高于限价作无效报价处理；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（四）响应文件封面未按响应文件封面要求编制和封贴；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（五）在采购过程中符合要求的供应商或者报价未超过采购预算的供应商不足3家的。</w:t>
      </w:r>
    </w:p>
    <w:p>
      <w:pPr>
        <w:numPr>
          <w:ilvl w:val="0"/>
          <w:numId w:val="0"/>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四、提交响应文件递交时间及地址：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（一）响应文件递交时间：2023年5月</w:t>
      </w:r>
      <w:r>
        <w:rPr>
          <w:rFonts w:hint="eastAsia" w:hAnsi="Times New Roman" w:eastAsia="仿宋" w:cs="Times New Roman"/>
          <w:b w:val="0"/>
          <w:bCs w:val="0"/>
          <w:kern w:val="2"/>
          <w:sz w:val="24"/>
          <w:szCs w:val="24"/>
          <w:lang w:val="en-US" w:eastAsia="zh-CN" w:bidi="ar-SA"/>
        </w:rPr>
        <w:t>11</w:t>
      </w:r>
      <w:r>
        <w:rPr>
          <w:rFonts w:hint="eastAsia" w:ascii="Times New Roman" w:hAnsi="Times New Roman" w:eastAsia="仿宋" w:cs="Times New Roman"/>
          <w:b w:val="0"/>
          <w:bCs w:val="0"/>
          <w:kern w:val="2"/>
          <w:sz w:val="24"/>
          <w:szCs w:val="24"/>
          <w:lang w:val="en-US" w:eastAsia="zh-CN" w:bidi="ar-SA"/>
        </w:rPr>
        <w:t>日17:00前。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注：1.响应文件应在提交响应文件截止时间前送达采购人指定地点；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 xml:space="preserve">       2.逾期送达或没有密封的首次响应文件恕不接收。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（二）递交响应文件方式：供应商将响应文件进行密封装订，加盖单位印章，并于截止时间前将一式</w:t>
      </w:r>
      <w:r>
        <w:rPr>
          <w:rFonts w:hint="eastAsia" w:hAnsi="Times New Roman" w:eastAsia="仿宋" w:cs="Times New Roman"/>
          <w:b w:val="0"/>
          <w:bCs w:val="0"/>
          <w:kern w:val="2"/>
          <w:sz w:val="24"/>
          <w:szCs w:val="24"/>
          <w:lang w:val="en-US" w:eastAsia="zh-CN" w:bidi="ar-SA"/>
        </w:rPr>
        <w:t>三</w:t>
      </w:r>
      <w:r>
        <w:rPr>
          <w:rFonts w:hint="eastAsia" w:ascii="Times New Roman" w:hAnsi="Times New Roman" w:eastAsia="仿宋" w:cs="Times New Roman"/>
          <w:b w:val="0"/>
          <w:bCs w:val="0"/>
          <w:kern w:val="2"/>
          <w:sz w:val="24"/>
          <w:szCs w:val="24"/>
          <w:lang w:val="en-US" w:eastAsia="zh-CN" w:bidi="ar-SA"/>
        </w:rPr>
        <w:t>份（正</w:t>
      </w:r>
      <w:r>
        <w:rPr>
          <w:rFonts w:hint="eastAsia" w:hAnsi="Times New Roman" w:eastAsia="仿宋" w:cs="Times New Roman"/>
          <w:b w:val="0"/>
          <w:bCs w:val="0"/>
          <w:kern w:val="2"/>
          <w:sz w:val="24"/>
          <w:szCs w:val="24"/>
          <w:lang w:val="en-US" w:eastAsia="zh-CN" w:bidi="ar-SA"/>
        </w:rPr>
        <w:t>本一份</w:t>
      </w:r>
      <w:r>
        <w:rPr>
          <w:rFonts w:hint="eastAsia" w:ascii="Times New Roman" w:hAnsi="Times New Roman" w:eastAsia="仿宋" w:cs="Times New Roman"/>
          <w:b w:val="0"/>
          <w:bCs w:val="0"/>
          <w:kern w:val="2"/>
          <w:sz w:val="24"/>
          <w:szCs w:val="24"/>
          <w:lang w:val="en-US" w:eastAsia="zh-CN" w:bidi="ar-SA"/>
        </w:rPr>
        <w:t>副本</w:t>
      </w:r>
      <w:r>
        <w:rPr>
          <w:rFonts w:hint="eastAsia" w:hAnsi="Times New Roman" w:eastAsia="仿宋" w:cs="Times New Roman"/>
          <w:b w:val="0"/>
          <w:bCs w:val="0"/>
          <w:kern w:val="2"/>
          <w:sz w:val="24"/>
          <w:szCs w:val="24"/>
          <w:lang w:val="en-US" w:eastAsia="zh-CN" w:bidi="ar-SA"/>
        </w:rPr>
        <w:t>两份</w:t>
      </w:r>
      <w:r>
        <w:rPr>
          <w:rFonts w:hint="eastAsia" w:ascii="Times New Roman" w:hAnsi="Times New Roman" w:eastAsia="仿宋" w:cs="Times New Roman"/>
          <w:b w:val="0"/>
          <w:bCs w:val="0"/>
          <w:kern w:val="2"/>
          <w:sz w:val="24"/>
          <w:szCs w:val="24"/>
          <w:lang w:val="en-US" w:eastAsia="zh-CN" w:bidi="ar-SA"/>
        </w:rPr>
        <w:t>）交至联系人办公室。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（递交响应文件地址：成都市温江区芙蓉大道二段33号四川省精神医学中心行政楼6楼）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备注：本项目不接收以邮寄方式递交的响应文件。</w:t>
      </w:r>
    </w:p>
    <w:p>
      <w:pPr>
        <w:numPr>
          <w:ilvl w:val="0"/>
          <w:numId w:val="0"/>
        </w:numPr>
        <w:spacing w:line="520" w:lineRule="exact"/>
        <w:ind w:firstLine="482" w:firstLineChars="200"/>
        <w:outlineLvl w:val="1"/>
        <w:rPr>
          <w:rFonts w:hint="eastAsia"/>
          <w:lang w:val="en-US" w:eastAsia="zh-CN"/>
        </w:rPr>
      </w:pPr>
      <w:r>
        <w:rPr>
          <w:rFonts w:hint="eastAsia" w:ascii="Times New Roman" w:hAnsi="Times New Roman" w:eastAsia="仿宋" w:cs="Times New Roman"/>
          <w:b/>
          <w:sz w:val="24"/>
          <w:szCs w:val="24"/>
          <w:lang w:val="en-US" w:eastAsia="zh-CN"/>
        </w:rPr>
        <w:t>五、评审结果：本次磋商结果</w:t>
      </w:r>
      <w:r>
        <w:rPr>
          <w:rFonts w:hint="eastAsia" w:ascii="Times New Roman" w:hAnsi="Times New Roman" w:eastAsia="仿宋" w:cs="Times New Roman"/>
          <w:b/>
          <w:strike w:val="0"/>
          <w:dstrike w:val="0"/>
          <w:sz w:val="24"/>
          <w:szCs w:val="24"/>
          <w:lang w:val="en-US" w:eastAsia="zh-CN"/>
        </w:rPr>
        <w:t>将在四川省精神医学中心官网公示</w:t>
      </w:r>
      <w:r>
        <w:rPr>
          <w:rFonts w:hint="eastAsia" w:ascii="Times New Roman" w:hAnsi="Times New Roman" w:eastAsia="仿宋" w:cs="Times New Roman"/>
          <w:b/>
          <w:sz w:val="24"/>
          <w:szCs w:val="24"/>
          <w:lang w:val="en-US" w:eastAsia="zh-CN"/>
        </w:rPr>
        <w:t>。</w:t>
      </w:r>
    </w:p>
    <w:p>
      <w:pPr>
        <w:numPr>
          <w:ilvl w:val="0"/>
          <w:numId w:val="0"/>
        </w:numPr>
        <w:spacing w:line="520" w:lineRule="exact"/>
        <w:ind w:firstLine="482" w:firstLineChars="200"/>
        <w:outlineLvl w:val="1"/>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六、联系方式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仿宋" w:cs="Times New Roman"/>
          <w:b w:val="0"/>
          <w:bCs w:val="0"/>
          <w:kern w:val="2"/>
          <w:sz w:val="24"/>
          <w:szCs w:val="24"/>
          <w:lang w:val="en-US" w:eastAsia="zh-CN" w:bidi="ar-SA"/>
        </w:rPr>
      </w:pPr>
      <w:r>
        <w:rPr>
          <w:rFonts w:hint="eastAsia" w:ascii="Times New Roman" w:hAnsi="Times New Roman" w:eastAsia="仿宋" w:cs="Times New Roman"/>
          <w:b w:val="0"/>
          <w:bCs w:val="0"/>
          <w:kern w:val="2"/>
          <w:sz w:val="24"/>
          <w:szCs w:val="24"/>
          <w:lang w:val="en-US" w:eastAsia="zh-CN" w:bidi="ar-SA"/>
        </w:rPr>
        <w:t>地址：成都市温江区芙蓉大道二段33号四川省精神医学中心</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采购联系人：何老师  电话：028-81020254</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宣传片联系人：赵老师  028-81020033</w:t>
      </w:r>
    </w:p>
    <w:p>
      <w:pPr>
        <w:spacing w:line="520" w:lineRule="exact"/>
        <w:ind w:firstLine="720" w:firstLineChars="300"/>
        <w:outlineLvl w:val="1"/>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纪检联系人：孙老师 028-81020036  </w:t>
      </w:r>
    </w:p>
    <w:p>
      <w:pP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br w:type="page"/>
      </w:r>
    </w:p>
    <w:p>
      <w:pPr>
        <w:spacing w:line="520" w:lineRule="exact"/>
        <w:ind w:firstLine="723" w:firstLineChars="300"/>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lang w:val="en-US" w:eastAsia="zh-CN"/>
        </w:rPr>
        <w:t>七、</w:t>
      </w:r>
      <w:r>
        <w:rPr>
          <w:rFonts w:hint="eastAsia" w:ascii="Times New Roman" w:hAnsi="Times New Roman" w:eastAsia="仿宋" w:cs="Times New Roman"/>
          <w:b/>
          <w:sz w:val="24"/>
          <w:szCs w:val="24"/>
          <w:highlight w:val="none"/>
          <w:lang w:val="en-US" w:eastAsia="zh-CN"/>
        </w:rPr>
        <w:t>评分标准</w:t>
      </w:r>
    </w:p>
    <w:p>
      <w:pPr>
        <w:pStyle w:val="2"/>
        <w:numPr>
          <w:ilvl w:val="0"/>
          <w:numId w:val="0"/>
        </w:numPr>
        <w:rPr>
          <w:rFonts w:hint="eastAsia"/>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1149985</wp:posOffset>
                </wp:positionH>
                <wp:positionV relativeFrom="paragraph">
                  <wp:posOffset>41275</wp:posOffset>
                </wp:positionV>
                <wp:extent cx="2481580" cy="387985"/>
                <wp:effectExtent l="0" t="0" r="0" b="0"/>
                <wp:wrapNone/>
                <wp:docPr id="11" name="文本框 11"/>
                <wp:cNvGraphicFramePr/>
                <a:graphic xmlns:a="http://schemas.openxmlformats.org/drawingml/2006/main">
                  <a:graphicData uri="http://schemas.microsoft.com/office/word/2010/wordprocessingShape">
                    <wps:wsp>
                      <wps:cNvSpPr txBox="1"/>
                      <wps:spPr>
                        <a:xfrm>
                          <a:off x="3139440" y="340360"/>
                          <a:ext cx="2481580" cy="387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项目评分表</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55pt;margin-top:3.25pt;height:30.55pt;width:195.4pt;z-index:251659264;mso-width-relative:page;mso-height-relative:page;" filled="f" stroked="f" coordsize="21600,21600" o:gfxdata="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GI0I9gAAAAIAQAADwAAAAAAAAABACAAAAAi&#10;AAAAZHJzL2Rvd25yZXYueG1sUEsBAhQAFAAAAAgAh07iQEjr/kZDAgAAcwQAAA4AAAAAAAAAAQAg&#10;AAAAJwEAAGRycy9lMm9Eb2MueG1sUEsFBgAAAAAGAAYAWQEAANwFAAAAAA==&#10;">
                <v:fill on="f" focussize="0,0"/>
                <v:stroke on="f" weight="0.5pt"/>
                <v:imagedata o:title=""/>
                <o:lock v:ext="edit" aspectratio="f"/>
                <v:textbox>
                  <w:txbxContent>
                    <w:p>
                      <w:pPr>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项目评分表</w:t>
                      </w:r>
                    </w:p>
                    <w:p/>
                  </w:txbxContent>
                </v:textbox>
              </v:shape>
            </w:pict>
          </mc:Fallback>
        </mc:AlternateContent>
      </w:r>
    </w:p>
    <w:p>
      <w:pPr>
        <w:pStyle w:val="3"/>
        <w:rPr>
          <w:rFonts w:hint="eastAsia"/>
          <w:lang w:val="en-US" w:eastAsia="zh-CN"/>
        </w:rPr>
      </w:pPr>
    </w:p>
    <w:tbl>
      <w:tblPr>
        <w:tblStyle w:val="11"/>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74"/>
        <w:gridCol w:w="1025"/>
        <w:gridCol w:w="806"/>
        <w:gridCol w:w="3969"/>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57" w:type="dxa"/>
            <w:noWrap w:val="0"/>
            <w:vAlign w:val="center"/>
          </w:tcPr>
          <w:p>
            <w:pPr>
              <w:ind w:firstLine="28"/>
              <w:jc w:val="both"/>
              <w:rPr>
                <w:rFonts w:ascii="仿宋" w:hAnsi="仿宋" w:eastAsia="仿宋" w:cs="仿宋"/>
                <w:b/>
                <w:bCs/>
                <w:sz w:val="24"/>
                <w:szCs w:val="24"/>
              </w:rPr>
            </w:pPr>
            <w:r>
              <w:rPr>
                <w:rFonts w:hint="eastAsia" w:ascii="仿宋" w:hAnsi="仿宋" w:eastAsia="仿宋" w:cs="仿宋"/>
                <w:b/>
                <w:bCs/>
                <w:sz w:val="24"/>
                <w:szCs w:val="24"/>
              </w:rPr>
              <w:t>序号</w:t>
            </w:r>
          </w:p>
        </w:tc>
        <w:tc>
          <w:tcPr>
            <w:tcW w:w="2099" w:type="dxa"/>
            <w:gridSpan w:val="2"/>
            <w:noWrap w:val="0"/>
            <w:vAlign w:val="center"/>
          </w:tcPr>
          <w:p>
            <w:pPr>
              <w:ind w:firstLine="28"/>
              <w:jc w:val="center"/>
              <w:rPr>
                <w:rFonts w:ascii="仿宋" w:hAnsi="仿宋" w:eastAsia="仿宋" w:cs="仿宋"/>
                <w:b/>
                <w:bCs/>
                <w:sz w:val="24"/>
                <w:szCs w:val="24"/>
              </w:rPr>
            </w:pPr>
            <w:r>
              <w:rPr>
                <w:rFonts w:hint="eastAsia" w:ascii="仿宋" w:hAnsi="仿宋" w:eastAsia="仿宋" w:cs="仿宋"/>
                <w:b/>
                <w:bCs/>
                <w:sz w:val="24"/>
                <w:szCs w:val="24"/>
              </w:rPr>
              <w:t>评分因素</w:t>
            </w:r>
          </w:p>
          <w:p>
            <w:pPr>
              <w:ind w:firstLine="28"/>
              <w:jc w:val="center"/>
              <w:rPr>
                <w:rFonts w:ascii="仿宋" w:hAnsi="仿宋" w:eastAsia="仿宋" w:cs="仿宋"/>
                <w:b/>
                <w:bCs/>
                <w:sz w:val="24"/>
                <w:szCs w:val="24"/>
              </w:rPr>
            </w:pPr>
            <w:r>
              <w:rPr>
                <w:rFonts w:hint="eastAsia" w:ascii="仿宋" w:hAnsi="仿宋" w:eastAsia="仿宋" w:cs="仿宋"/>
                <w:b/>
                <w:bCs/>
                <w:sz w:val="24"/>
                <w:szCs w:val="24"/>
              </w:rPr>
              <w:t>及权重</w:t>
            </w:r>
          </w:p>
        </w:tc>
        <w:tc>
          <w:tcPr>
            <w:tcW w:w="806" w:type="dxa"/>
            <w:noWrap w:val="0"/>
            <w:vAlign w:val="center"/>
          </w:tcPr>
          <w:p>
            <w:pPr>
              <w:ind w:firstLine="28"/>
              <w:jc w:val="center"/>
              <w:rPr>
                <w:rFonts w:ascii="仿宋" w:hAnsi="仿宋" w:eastAsia="仿宋" w:cs="仿宋"/>
                <w:b/>
                <w:bCs/>
                <w:sz w:val="24"/>
                <w:szCs w:val="24"/>
              </w:rPr>
            </w:pPr>
            <w:r>
              <w:rPr>
                <w:rFonts w:hint="eastAsia" w:ascii="仿宋" w:hAnsi="仿宋" w:eastAsia="仿宋" w:cs="仿宋"/>
                <w:b/>
                <w:bCs/>
                <w:sz w:val="24"/>
                <w:szCs w:val="24"/>
              </w:rPr>
              <w:t>分值</w:t>
            </w:r>
          </w:p>
        </w:tc>
        <w:tc>
          <w:tcPr>
            <w:tcW w:w="3969" w:type="dxa"/>
            <w:noWrap w:val="0"/>
            <w:vAlign w:val="center"/>
          </w:tcPr>
          <w:p>
            <w:pPr>
              <w:ind w:firstLine="28"/>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3012" w:type="dxa"/>
            <w:noWrap w:val="0"/>
            <w:vAlign w:val="center"/>
          </w:tcPr>
          <w:p>
            <w:pPr>
              <w:jc w:val="center"/>
              <w:rPr>
                <w:rFonts w:ascii="仿宋" w:hAnsi="仿宋" w:eastAsia="仿宋" w:cs="仿宋"/>
                <w:b/>
                <w:bCs/>
                <w:sz w:val="24"/>
                <w:szCs w:val="24"/>
              </w:rPr>
            </w:pPr>
            <w:r>
              <w:rPr>
                <w:rFonts w:hint="eastAsia" w:ascii="仿宋" w:hAnsi="仿宋" w:eastAsia="仿宋" w:cs="仿宋"/>
                <w:b/>
                <w:bCs/>
                <w:sz w:val="24"/>
                <w:szCs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57" w:type="dxa"/>
            <w:noWrap w:val="0"/>
            <w:vAlign w:val="center"/>
          </w:tcPr>
          <w:p>
            <w:pPr>
              <w:ind w:firstLine="28" w:firstLineChars="0"/>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2099" w:type="dxa"/>
            <w:gridSpan w:val="2"/>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rPr>
              <w:t>报价</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w:t>
            </w:r>
          </w:p>
          <w:p>
            <w:pPr>
              <w:ind w:firstLine="28" w:firstLineChars="0"/>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（共同类评分）</w:t>
            </w:r>
          </w:p>
        </w:tc>
        <w:tc>
          <w:tcPr>
            <w:tcW w:w="806" w:type="dxa"/>
            <w:noWrap w:val="0"/>
            <w:vAlign w:val="center"/>
          </w:tcPr>
          <w:p>
            <w:pPr>
              <w:ind w:firstLine="28" w:firstLineChars="0"/>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w:t>
            </w:r>
          </w:p>
        </w:tc>
        <w:tc>
          <w:tcPr>
            <w:tcW w:w="3969" w:type="dxa"/>
            <w:noWrap w:val="0"/>
            <w:vAlign w:val="center"/>
          </w:tcPr>
          <w:p>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以满足</w:t>
            </w:r>
            <w:r>
              <w:rPr>
                <w:rFonts w:hint="eastAsia" w:ascii="仿宋" w:hAnsi="仿宋" w:eastAsia="仿宋" w:cs="仿宋"/>
                <w:color w:val="000000"/>
                <w:sz w:val="24"/>
                <w:szCs w:val="24"/>
                <w:lang w:val="en-US" w:eastAsia="zh-CN"/>
              </w:rPr>
              <w:t>最高限价的</w:t>
            </w:r>
            <w:r>
              <w:rPr>
                <w:rFonts w:hint="eastAsia" w:ascii="仿宋" w:hAnsi="仿宋" w:eastAsia="仿宋" w:cs="仿宋"/>
                <w:color w:val="000000"/>
                <w:sz w:val="24"/>
                <w:szCs w:val="24"/>
              </w:rPr>
              <w:t>最低报价作为基准价，其价格分为满分，响应报价得分=(基准价／响应报价)×</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w:t>
            </w:r>
          </w:p>
        </w:tc>
        <w:tc>
          <w:tcPr>
            <w:tcW w:w="3012" w:type="dxa"/>
            <w:noWrap w:val="0"/>
            <w:vAlign w:val="center"/>
          </w:tcPr>
          <w:p>
            <w:pPr>
              <w:jc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以供应商的报价文件为依据。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57" w:type="dxa"/>
            <w:vMerge w:val="restart"/>
            <w:noWrap w:val="0"/>
            <w:vAlign w:val="center"/>
          </w:tcPr>
          <w:p>
            <w:pPr>
              <w:ind w:firstLine="28"/>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74" w:type="dxa"/>
            <w:vMerge w:val="restart"/>
            <w:noWrap w:val="0"/>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方案创意完整性60%</w:t>
            </w:r>
          </w:p>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（技术类评分）</w:t>
            </w:r>
          </w:p>
        </w:tc>
        <w:tc>
          <w:tcPr>
            <w:tcW w:w="1025" w:type="dxa"/>
            <w:noWrap w:val="0"/>
            <w:vAlign w:val="center"/>
          </w:tcPr>
          <w:p>
            <w:pPr>
              <w:ind w:firstLine="28"/>
              <w:jc w:val="center"/>
              <w:rPr>
                <w:rFonts w:ascii="仿宋" w:hAnsi="仿宋" w:eastAsia="仿宋" w:cs="仿宋"/>
                <w:color w:val="000000"/>
                <w:sz w:val="24"/>
                <w:szCs w:val="24"/>
              </w:rPr>
            </w:pPr>
            <w:r>
              <w:rPr>
                <w:rFonts w:hint="eastAsia" w:ascii="仿宋" w:hAnsi="仿宋" w:eastAsia="仿宋" w:cs="仿宋"/>
                <w:color w:val="000000"/>
                <w:sz w:val="24"/>
                <w:szCs w:val="24"/>
                <w:lang w:eastAsia="zh-CN"/>
              </w:rPr>
              <w:t>方案整体性</w:t>
            </w: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p>
            <w:pPr>
              <w:jc w:val="center"/>
              <w:rPr>
                <w:rFonts w:hint="eastAsia" w:ascii="仿宋" w:hAnsi="仿宋" w:eastAsia="仿宋" w:cs="仿宋"/>
                <w:sz w:val="24"/>
                <w:szCs w:val="24"/>
              </w:rPr>
            </w:pPr>
          </w:p>
        </w:tc>
        <w:tc>
          <w:tcPr>
            <w:tcW w:w="806" w:type="dxa"/>
            <w:noWrap w:val="0"/>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20分</w:t>
            </w:r>
          </w:p>
        </w:tc>
        <w:tc>
          <w:tcPr>
            <w:tcW w:w="3969"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结合对</w:t>
            </w:r>
            <w:r>
              <w:rPr>
                <w:rFonts w:hint="eastAsia" w:ascii="仿宋" w:hAnsi="仿宋" w:eastAsia="仿宋" w:cs="仿宋"/>
                <w:color w:val="000000"/>
                <w:sz w:val="24"/>
                <w:szCs w:val="24"/>
                <w:lang w:eastAsia="zh-CN"/>
              </w:rPr>
              <w:t>本项目的</w:t>
            </w:r>
            <w:r>
              <w:rPr>
                <w:rFonts w:hint="eastAsia" w:ascii="仿宋" w:hAnsi="仿宋" w:eastAsia="仿宋" w:cs="仿宋"/>
                <w:color w:val="000000"/>
                <w:sz w:val="24"/>
                <w:szCs w:val="24"/>
              </w:rPr>
              <w:t>理解及采购实际需要，对</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w:t>
            </w:r>
            <w:r>
              <w:rPr>
                <w:rFonts w:hint="eastAsia" w:ascii="仿宋" w:hAnsi="仿宋" w:eastAsia="仿宋" w:cs="仿宋"/>
                <w:color w:val="000000"/>
                <w:sz w:val="24"/>
                <w:szCs w:val="24"/>
                <w:lang w:eastAsia="zh-CN"/>
              </w:rPr>
              <w:t>方案整体</w:t>
            </w:r>
            <w:r>
              <w:rPr>
                <w:rFonts w:hint="eastAsia" w:ascii="仿宋" w:hAnsi="仿宋" w:eastAsia="仿宋" w:cs="仿宋"/>
                <w:color w:val="000000"/>
                <w:sz w:val="24"/>
                <w:szCs w:val="24"/>
              </w:rPr>
              <w:t>的详细完整程度、合理性、全面性、</w:t>
            </w:r>
            <w:r>
              <w:rPr>
                <w:rFonts w:hint="eastAsia" w:ascii="仿宋" w:hAnsi="仿宋" w:eastAsia="仿宋" w:cs="仿宋"/>
                <w:color w:val="000000"/>
                <w:sz w:val="24"/>
                <w:szCs w:val="24"/>
                <w:lang w:eastAsia="zh-CN"/>
              </w:rPr>
              <w:t>思路条理、</w:t>
            </w:r>
            <w:r>
              <w:rPr>
                <w:rFonts w:hint="eastAsia" w:ascii="仿宋" w:hAnsi="仿宋" w:eastAsia="仿宋" w:cs="仿宋"/>
                <w:color w:val="000000"/>
                <w:sz w:val="24"/>
                <w:szCs w:val="24"/>
              </w:rPr>
              <w:t>可操作性等进行综合评审</w:t>
            </w:r>
            <w:r>
              <w:rPr>
                <w:rFonts w:hint="eastAsia" w:ascii="仿宋" w:hAnsi="仿宋" w:eastAsia="仿宋" w:cs="仿宋"/>
                <w:color w:val="000000"/>
                <w:sz w:val="24"/>
                <w:szCs w:val="24"/>
                <w:lang w:val="zh-CN"/>
              </w:rPr>
              <w:t>：</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zh-CN"/>
              </w:rPr>
              <w:t>）提供的方案内容都详细完整、全面合理、</w:t>
            </w:r>
            <w:r>
              <w:rPr>
                <w:rFonts w:hint="eastAsia" w:ascii="仿宋" w:hAnsi="仿宋" w:eastAsia="仿宋" w:cs="仿宋"/>
                <w:b w:val="0"/>
                <w:bCs w:val="0"/>
                <w:color w:val="000000"/>
                <w:sz w:val="24"/>
                <w:szCs w:val="24"/>
                <w:lang w:val="en-US" w:eastAsia="zh-CN"/>
              </w:rPr>
              <w:t>条理分明、</w:t>
            </w:r>
            <w:r>
              <w:rPr>
                <w:rFonts w:hint="eastAsia" w:ascii="仿宋" w:hAnsi="仿宋" w:eastAsia="仿宋" w:cs="仿宋"/>
                <w:color w:val="000000"/>
                <w:sz w:val="24"/>
                <w:szCs w:val="24"/>
                <w:lang w:val="zh-CN"/>
              </w:rPr>
              <w:t>可操作性强，能充分体现投标人能力的得</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val="zh-CN"/>
              </w:rPr>
              <w:t>分；</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提供的方案内容中每有一项不完善详细或不全面或不合理或不具备可操作性，无法充分体现投标人能力的，每有一项扣</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分，扣完为止</w:t>
            </w:r>
            <w:r>
              <w:rPr>
                <w:rFonts w:hint="eastAsia" w:ascii="仿宋" w:hAnsi="仿宋" w:eastAsia="仿宋" w:cs="仿宋"/>
                <w:color w:val="000000"/>
                <w:sz w:val="24"/>
                <w:szCs w:val="24"/>
                <w:lang w:val="zh-CN"/>
              </w:rPr>
              <w:t>；</w:t>
            </w:r>
          </w:p>
          <w:p>
            <w:pPr>
              <w:rPr>
                <w:rFonts w:hint="eastAsia" w:ascii="仿宋" w:hAnsi="仿宋" w:eastAsia="仿宋" w:cs="仿宋"/>
                <w:sz w:val="24"/>
                <w:szCs w:val="24"/>
                <w:lang w:val="en-US" w:eastAsia="zh-CN" w:bidi="ar-SA"/>
              </w:rPr>
            </w:pP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）未提供不得分。</w:t>
            </w:r>
          </w:p>
        </w:tc>
        <w:tc>
          <w:tcPr>
            <w:tcW w:w="3012" w:type="dxa"/>
            <w:vMerge w:val="restart"/>
            <w:noWrap w:val="0"/>
            <w:vAlign w:val="center"/>
          </w:tcPr>
          <w:p>
            <w:pPr>
              <w:jc w:val="left"/>
              <w:rPr>
                <w:rFonts w:hint="eastAsia" w:ascii="仿宋" w:hAnsi="仿宋" w:eastAsia="仿宋" w:cs="仿宋"/>
                <w:sz w:val="24"/>
                <w:szCs w:val="24"/>
                <w:lang w:val="en-US" w:eastAsia="zh-CN" w:bidi="ar-SA"/>
              </w:rPr>
            </w:pPr>
            <w:r>
              <w:rPr>
                <w:rFonts w:hint="eastAsia" w:ascii="仿宋" w:hAnsi="仿宋" w:eastAsia="仿宋" w:cs="仿宋"/>
                <w:sz w:val="24"/>
                <w:szCs w:val="24"/>
              </w:rPr>
              <w:t>其中优秀指</w:t>
            </w:r>
            <w:r>
              <w:rPr>
                <w:rFonts w:hint="eastAsia" w:ascii="仿宋" w:hAnsi="仿宋" w:eastAsia="仿宋" w:cs="仿宋"/>
                <w:sz w:val="24"/>
                <w:szCs w:val="24"/>
                <w:lang w:val="zh-CN"/>
              </w:rPr>
              <w:t>提供的方案内容每项都详细完整、全面合理、可操作性强，能充分体现投标人的方案创意能力；良好指提供的方案较为完整、具有一定的针对性和可操作性；一般指方案未完全按照采购需求结合相关实际需要进行编制，内容粗糙未细化。具体</w:t>
            </w:r>
            <w:r>
              <w:rPr>
                <w:rFonts w:hint="eastAsia" w:ascii="仿宋" w:hAnsi="仿宋" w:eastAsia="仿宋" w:cs="仿宋"/>
                <w:sz w:val="24"/>
                <w:szCs w:val="24"/>
              </w:rPr>
              <w:t>以供应商提供的服务方案为依据。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557" w:type="dxa"/>
            <w:vMerge w:val="continue"/>
            <w:noWrap w:val="0"/>
            <w:vAlign w:val="center"/>
          </w:tcPr>
          <w:p>
            <w:pPr>
              <w:ind w:firstLine="28"/>
              <w:jc w:val="center"/>
              <w:rPr>
                <w:rFonts w:hint="eastAsia" w:ascii="仿宋" w:hAnsi="仿宋" w:eastAsia="仿宋" w:cs="仿宋"/>
                <w:sz w:val="24"/>
                <w:szCs w:val="24"/>
              </w:rPr>
            </w:pPr>
          </w:p>
        </w:tc>
        <w:tc>
          <w:tcPr>
            <w:tcW w:w="1074" w:type="dxa"/>
            <w:vMerge w:val="continue"/>
            <w:noWrap w:val="0"/>
            <w:vAlign w:val="center"/>
          </w:tcPr>
          <w:p>
            <w:pPr>
              <w:jc w:val="center"/>
              <w:rPr>
                <w:rFonts w:hint="eastAsia" w:ascii="仿宋" w:hAnsi="仿宋" w:eastAsia="仿宋" w:cs="仿宋"/>
                <w:sz w:val="24"/>
                <w:szCs w:val="24"/>
                <w:lang w:val="en-US" w:eastAsia="zh-CN" w:bidi="ar-SA"/>
              </w:rPr>
            </w:pPr>
          </w:p>
        </w:tc>
        <w:tc>
          <w:tcPr>
            <w:tcW w:w="1025"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拍摄方案</w:t>
            </w:r>
            <w:r>
              <w:rPr>
                <w:rFonts w:hint="eastAsia" w:ascii="仿宋" w:hAnsi="仿宋" w:eastAsia="仿宋" w:cs="仿宋"/>
                <w:sz w:val="24"/>
                <w:szCs w:val="24"/>
                <w:lang w:val="en-US" w:eastAsia="zh-CN"/>
              </w:rPr>
              <w:t>40%</w:t>
            </w:r>
          </w:p>
          <w:p>
            <w:pPr>
              <w:jc w:val="center"/>
              <w:rPr>
                <w:rFonts w:hint="eastAsia" w:ascii="仿宋" w:hAnsi="仿宋" w:eastAsia="仿宋" w:cs="仿宋"/>
                <w:sz w:val="24"/>
                <w:szCs w:val="24"/>
                <w:lang w:val="en-US" w:eastAsia="zh-CN"/>
              </w:rPr>
            </w:pPr>
          </w:p>
        </w:tc>
        <w:tc>
          <w:tcPr>
            <w:tcW w:w="806" w:type="dxa"/>
            <w:noWrap w:val="0"/>
            <w:vAlign w:val="center"/>
          </w:tcPr>
          <w:p>
            <w:pPr>
              <w:jc w:val="center"/>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40分</w:t>
            </w:r>
          </w:p>
        </w:tc>
        <w:tc>
          <w:tcPr>
            <w:tcW w:w="3969" w:type="dxa"/>
            <w:noWrap w:val="0"/>
            <w:vAlign w:val="center"/>
          </w:tcPr>
          <w:p>
            <w:pPr>
              <w:rPr>
                <w:rFonts w:hint="eastAsia" w:ascii="仿宋" w:hAnsi="仿宋" w:eastAsia="仿宋" w:cs="仿宋"/>
                <w:sz w:val="24"/>
                <w:szCs w:val="24"/>
                <w:lang w:val="en-US" w:eastAsia="zh-CN" w:bidi="ar-SA"/>
              </w:rPr>
            </w:pPr>
            <w:r>
              <w:rPr>
                <w:rFonts w:hint="eastAsia" w:ascii="仿宋" w:hAnsi="仿宋" w:eastAsia="仿宋" w:cs="仿宋"/>
                <w:sz w:val="24"/>
                <w:szCs w:val="24"/>
              </w:rPr>
              <w:t>根据供应商提供的</w:t>
            </w:r>
            <w:r>
              <w:rPr>
                <w:rFonts w:hint="eastAsia" w:ascii="仿宋" w:hAnsi="仿宋" w:eastAsia="仿宋" w:cs="仿宋"/>
                <w:sz w:val="24"/>
                <w:szCs w:val="24"/>
                <w:lang w:eastAsia="zh-CN"/>
              </w:rPr>
              <w:t>宣传</w:t>
            </w:r>
            <w:r>
              <w:rPr>
                <w:rFonts w:hint="eastAsia" w:ascii="仿宋" w:hAnsi="仿宋" w:eastAsia="仿宋" w:cs="仿宋"/>
                <w:sz w:val="24"/>
                <w:szCs w:val="24"/>
                <w:lang w:val="en-US" w:eastAsia="zh-CN"/>
              </w:rPr>
              <w:t>片</w:t>
            </w:r>
            <w:r>
              <w:rPr>
                <w:rFonts w:hint="eastAsia" w:ascii="仿宋" w:hAnsi="仿宋" w:eastAsia="仿宋" w:cs="仿宋"/>
                <w:sz w:val="24"/>
                <w:szCs w:val="24"/>
                <w:lang w:eastAsia="zh-CN"/>
              </w:rPr>
              <w:t>拍摄</w:t>
            </w:r>
            <w:r>
              <w:rPr>
                <w:rFonts w:hint="eastAsia" w:ascii="仿宋" w:hAnsi="仿宋" w:eastAsia="仿宋" w:cs="仿宋"/>
                <w:sz w:val="24"/>
                <w:szCs w:val="24"/>
              </w:rPr>
              <w:t>方案</w:t>
            </w:r>
            <w:r>
              <w:rPr>
                <w:rFonts w:hint="eastAsia" w:ascii="仿宋" w:hAnsi="仿宋" w:eastAsia="仿宋" w:cs="仿宋"/>
                <w:sz w:val="24"/>
                <w:szCs w:val="24"/>
                <w:lang w:eastAsia="zh-CN"/>
              </w:rPr>
              <w:t>围绕关键词“创意”</w:t>
            </w:r>
            <w:r>
              <w:rPr>
                <w:rFonts w:hint="eastAsia" w:ascii="仿宋" w:hAnsi="仿宋" w:eastAsia="仿宋" w:cs="仿宋"/>
                <w:sz w:val="24"/>
                <w:szCs w:val="24"/>
              </w:rPr>
              <w:t>进行综合评分，</w:t>
            </w:r>
            <w:r>
              <w:rPr>
                <w:rFonts w:hint="eastAsia" w:ascii="仿宋" w:hAnsi="仿宋" w:eastAsia="仿宋" w:cs="仿宋"/>
                <w:sz w:val="24"/>
                <w:szCs w:val="24"/>
                <w:lang w:val="zh-CN"/>
              </w:rPr>
              <w:t>供应商结合对本项目的理解及采购人实际需要，主要突出方案的设计思路、素材拟用、情景设定、背景音乐选取、观看人群的关注和兴趣等，以</w:t>
            </w:r>
            <w:r>
              <w:rPr>
                <w:rFonts w:hint="eastAsia" w:ascii="仿宋" w:hAnsi="仿宋" w:eastAsia="仿宋" w:cs="仿宋"/>
                <w:sz w:val="24"/>
                <w:szCs w:val="24"/>
                <w:lang w:val="en-US" w:eastAsia="zh-CN"/>
              </w:rPr>
              <w:t>易于传播、打动人心</w:t>
            </w:r>
            <w:r>
              <w:rPr>
                <w:rFonts w:hint="eastAsia" w:ascii="仿宋" w:hAnsi="仿宋" w:eastAsia="仿宋" w:cs="仿宋"/>
                <w:sz w:val="24"/>
                <w:szCs w:val="24"/>
                <w:lang w:val="zh-CN"/>
              </w:rPr>
              <w:t>为主要目的。</w:t>
            </w:r>
            <w:r>
              <w:rPr>
                <w:rFonts w:hint="eastAsia" w:ascii="仿宋" w:hAnsi="仿宋" w:eastAsia="仿宋" w:cs="仿宋"/>
                <w:sz w:val="24"/>
                <w:szCs w:val="24"/>
              </w:rPr>
              <w:t>优秀的得</w:t>
            </w:r>
            <w:r>
              <w:rPr>
                <w:rFonts w:hint="eastAsia" w:ascii="仿宋" w:hAnsi="仿宋" w:eastAsia="仿宋" w:cs="仿宋"/>
                <w:sz w:val="24"/>
                <w:szCs w:val="24"/>
                <w:lang w:val="en-US" w:eastAsia="zh-CN"/>
              </w:rPr>
              <w:t>40</w:t>
            </w:r>
            <w:r>
              <w:rPr>
                <w:rFonts w:hint="eastAsia" w:ascii="仿宋" w:hAnsi="仿宋" w:eastAsia="仿宋" w:cs="仿宋"/>
                <w:sz w:val="24"/>
                <w:szCs w:val="24"/>
              </w:rPr>
              <w:t>分，良好的得</w:t>
            </w:r>
            <w:r>
              <w:rPr>
                <w:rFonts w:hint="eastAsia" w:ascii="仿宋" w:hAnsi="仿宋" w:eastAsia="仿宋" w:cs="仿宋"/>
                <w:sz w:val="24"/>
                <w:szCs w:val="24"/>
                <w:lang w:val="en-US" w:eastAsia="zh-CN"/>
              </w:rPr>
              <w:t>19</w:t>
            </w:r>
            <w:r>
              <w:rPr>
                <w:rFonts w:hint="eastAsia" w:ascii="仿宋" w:hAnsi="仿宋" w:eastAsia="仿宋" w:cs="仿宋"/>
                <w:sz w:val="24"/>
                <w:szCs w:val="24"/>
              </w:rPr>
              <w:t>分，一般的得</w:t>
            </w:r>
            <w:r>
              <w:rPr>
                <w:rFonts w:hint="eastAsia" w:ascii="仿宋" w:hAnsi="仿宋" w:eastAsia="仿宋" w:cs="仿宋"/>
                <w:sz w:val="24"/>
                <w:szCs w:val="24"/>
                <w:lang w:val="en-US" w:eastAsia="zh-CN"/>
              </w:rPr>
              <w:t>9</w:t>
            </w:r>
            <w:r>
              <w:rPr>
                <w:rFonts w:hint="eastAsia" w:ascii="仿宋" w:hAnsi="仿宋" w:eastAsia="仿宋" w:cs="仿宋"/>
                <w:sz w:val="24"/>
                <w:szCs w:val="24"/>
              </w:rPr>
              <w:t>分，差或未提供不得分。</w:t>
            </w:r>
          </w:p>
        </w:tc>
        <w:tc>
          <w:tcPr>
            <w:tcW w:w="3012" w:type="dxa"/>
            <w:vMerge w:val="continue"/>
            <w:noWrap w:val="0"/>
            <w:vAlign w:val="center"/>
          </w:tcPr>
          <w:p>
            <w:pPr>
              <w:jc w:val="left"/>
              <w:rPr>
                <w:rFonts w:hint="eastAsia" w:ascii="仿宋" w:hAnsi="仿宋" w:eastAsia="仿宋" w:cs="仿宋"/>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noWrap w:val="0"/>
            <w:vAlign w:val="center"/>
          </w:tcPr>
          <w:p>
            <w:pPr>
              <w:ind w:firstLine="28"/>
              <w:jc w:val="center"/>
              <w:rPr>
                <w:rFonts w:ascii="仿宋" w:hAnsi="仿宋" w:eastAsia="仿宋" w:cs="仿宋"/>
                <w:sz w:val="24"/>
                <w:szCs w:val="24"/>
              </w:rPr>
            </w:pPr>
            <w:r>
              <w:rPr>
                <w:rFonts w:hint="eastAsia" w:ascii="仿宋" w:hAnsi="仿宋" w:eastAsia="仿宋" w:cs="仿宋"/>
                <w:sz w:val="24"/>
                <w:szCs w:val="24"/>
              </w:rPr>
              <w:t>3</w:t>
            </w:r>
          </w:p>
        </w:tc>
        <w:tc>
          <w:tcPr>
            <w:tcW w:w="2099" w:type="dxa"/>
            <w:gridSpan w:val="2"/>
            <w:noWrap w:val="0"/>
            <w:vAlign w:val="center"/>
          </w:tcPr>
          <w:p>
            <w:pPr>
              <w:jc w:val="center"/>
              <w:rPr>
                <w:rFonts w:ascii="仿宋" w:hAnsi="仿宋" w:eastAsia="仿宋" w:cs="仿宋"/>
                <w:sz w:val="24"/>
                <w:szCs w:val="24"/>
              </w:rPr>
            </w:pPr>
            <w:r>
              <w:rPr>
                <w:rFonts w:hint="eastAsia" w:ascii="仿宋" w:hAnsi="仿宋" w:eastAsia="仿宋" w:cs="仿宋"/>
                <w:sz w:val="24"/>
                <w:szCs w:val="24"/>
              </w:rPr>
              <w:t>实施方案</w:t>
            </w:r>
            <w:r>
              <w:rPr>
                <w:rFonts w:hint="eastAsia" w:ascii="仿宋" w:hAnsi="仿宋" w:eastAsia="仿宋" w:cs="仿宋"/>
                <w:sz w:val="24"/>
                <w:szCs w:val="24"/>
                <w:lang w:val="en-US" w:eastAsia="zh-CN"/>
              </w:rPr>
              <w:t>12</w:t>
            </w:r>
            <w:r>
              <w:rPr>
                <w:rFonts w:hint="eastAsia" w:ascii="仿宋" w:hAnsi="仿宋" w:eastAsia="仿宋" w:cs="仿宋"/>
                <w:sz w:val="24"/>
                <w:szCs w:val="24"/>
              </w:rPr>
              <w:t>%</w:t>
            </w:r>
          </w:p>
          <w:p>
            <w:pPr>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技术</w:t>
            </w:r>
            <w:r>
              <w:rPr>
                <w:rFonts w:hint="eastAsia" w:ascii="仿宋" w:hAnsi="仿宋" w:eastAsia="仿宋" w:cs="仿宋"/>
                <w:sz w:val="24"/>
                <w:szCs w:val="24"/>
              </w:rPr>
              <w:t>类评分）</w:t>
            </w:r>
          </w:p>
        </w:tc>
        <w:tc>
          <w:tcPr>
            <w:tcW w:w="806" w:type="dxa"/>
            <w:noWrap w:val="0"/>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3969" w:type="dxa"/>
            <w:noWrap w:val="0"/>
            <w:vAlign w:val="center"/>
          </w:tcPr>
          <w:p>
            <w:pPr>
              <w:rPr>
                <w:rFonts w:ascii="仿宋" w:hAnsi="仿宋" w:eastAsia="仿宋" w:cs="仿宋"/>
                <w:sz w:val="24"/>
                <w:szCs w:val="24"/>
              </w:rPr>
            </w:pPr>
            <w:r>
              <w:rPr>
                <w:rFonts w:hint="eastAsia" w:ascii="仿宋" w:hAnsi="仿宋" w:eastAsia="仿宋" w:cs="仿宋"/>
                <w:sz w:val="24"/>
                <w:szCs w:val="24"/>
              </w:rPr>
              <w:t>根据供应商提供的实施方案进行综合评分，</w:t>
            </w:r>
            <w:r>
              <w:rPr>
                <w:rFonts w:hint="eastAsia" w:ascii="仿宋" w:hAnsi="仿宋" w:eastAsia="仿宋" w:cs="仿宋"/>
                <w:sz w:val="24"/>
                <w:szCs w:val="24"/>
                <w:lang w:val="zh-CN"/>
              </w:rPr>
              <w:t>供应商结合对本项目的理解及采购人实际需要，</w:t>
            </w:r>
            <w:r>
              <w:rPr>
                <w:rFonts w:hint="eastAsia" w:ascii="仿宋" w:hAnsi="仿宋" w:eastAsia="仿宋" w:cs="仿宋"/>
                <w:sz w:val="24"/>
                <w:szCs w:val="24"/>
              </w:rPr>
              <w:t>方案包括但不限于人员配置科学合理、有完善可行的质量保证措施、安全保证措施、工期保证措施等，优秀的得</w:t>
            </w:r>
            <w:r>
              <w:rPr>
                <w:rFonts w:hint="eastAsia" w:ascii="仿宋" w:hAnsi="仿宋" w:eastAsia="仿宋" w:cs="仿宋"/>
                <w:sz w:val="24"/>
                <w:szCs w:val="24"/>
                <w:lang w:val="en-US" w:eastAsia="zh-CN"/>
              </w:rPr>
              <w:t>12</w:t>
            </w:r>
            <w:r>
              <w:rPr>
                <w:rFonts w:hint="eastAsia" w:ascii="仿宋" w:hAnsi="仿宋" w:eastAsia="仿宋" w:cs="仿宋"/>
                <w:sz w:val="24"/>
                <w:szCs w:val="24"/>
              </w:rPr>
              <w:t>分，良好的得</w:t>
            </w:r>
            <w:r>
              <w:rPr>
                <w:rFonts w:hint="eastAsia" w:ascii="仿宋" w:hAnsi="仿宋" w:eastAsia="仿宋" w:cs="仿宋"/>
                <w:sz w:val="24"/>
                <w:szCs w:val="24"/>
                <w:lang w:val="en-US" w:eastAsia="zh-CN"/>
              </w:rPr>
              <w:t>5</w:t>
            </w:r>
            <w:r>
              <w:rPr>
                <w:rFonts w:hint="eastAsia" w:ascii="仿宋" w:hAnsi="仿宋" w:eastAsia="仿宋" w:cs="仿宋"/>
                <w:sz w:val="24"/>
                <w:szCs w:val="24"/>
              </w:rPr>
              <w:t>分，一般的得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分，差或未提供不得分。</w:t>
            </w:r>
          </w:p>
        </w:tc>
        <w:tc>
          <w:tcPr>
            <w:tcW w:w="3012"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其中优秀指</w:t>
            </w:r>
            <w:r>
              <w:rPr>
                <w:rFonts w:hint="eastAsia" w:ascii="仿宋" w:hAnsi="仿宋" w:eastAsia="仿宋" w:cs="仿宋"/>
                <w:sz w:val="24"/>
                <w:szCs w:val="24"/>
                <w:lang w:val="zh-CN"/>
              </w:rPr>
              <w:t>提供的方案内容每项都详细完整、全面合理、可操作性强，能充分体现投标人的方案实施能力；良好指提供的方案较为完整、具有一定的针对性和可操作性；一般指方案未完全按照采购需求结合相关实际需要进行编制，内容粗糙未细化。具体</w:t>
            </w:r>
            <w:r>
              <w:rPr>
                <w:rFonts w:hint="eastAsia" w:ascii="仿宋" w:hAnsi="仿宋" w:eastAsia="仿宋" w:cs="仿宋"/>
                <w:sz w:val="24"/>
                <w:szCs w:val="24"/>
              </w:rPr>
              <w:t>以供应商提供的服务方案为依据。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57" w:type="dxa"/>
            <w:noWrap w:val="0"/>
            <w:vAlign w:val="center"/>
          </w:tcPr>
          <w:p>
            <w:pPr>
              <w:ind w:firstLine="28"/>
              <w:jc w:val="center"/>
              <w:rPr>
                <w:rFonts w:ascii="仿宋" w:hAnsi="仿宋" w:eastAsia="仿宋" w:cs="仿宋"/>
                <w:sz w:val="24"/>
                <w:szCs w:val="24"/>
              </w:rPr>
            </w:pPr>
            <w:r>
              <w:rPr>
                <w:rFonts w:hint="eastAsia" w:ascii="仿宋" w:hAnsi="仿宋" w:eastAsia="仿宋" w:cs="仿宋"/>
                <w:sz w:val="24"/>
                <w:szCs w:val="24"/>
              </w:rPr>
              <w:t>4</w:t>
            </w:r>
          </w:p>
        </w:tc>
        <w:tc>
          <w:tcPr>
            <w:tcW w:w="2099"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color w:val="auto"/>
                <w:sz w:val="24"/>
                <w:szCs w:val="24"/>
              </w:rPr>
              <w:t>设备配置</w:t>
            </w:r>
            <w:r>
              <w:rPr>
                <w:rFonts w:hint="eastAsia" w:ascii="仿宋" w:hAnsi="仿宋" w:eastAsia="仿宋" w:cs="仿宋"/>
                <w:sz w:val="24"/>
                <w:szCs w:val="24"/>
                <w:lang w:val="en-US" w:eastAsia="zh-CN"/>
              </w:rPr>
              <w:t>5</w:t>
            </w:r>
            <w:r>
              <w:rPr>
                <w:rFonts w:hint="eastAsia" w:ascii="仿宋" w:hAnsi="仿宋" w:eastAsia="仿宋" w:cs="仿宋"/>
                <w:sz w:val="24"/>
                <w:szCs w:val="24"/>
              </w:rPr>
              <w:t>%</w:t>
            </w:r>
          </w:p>
          <w:p>
            <w:pPr>
              <w:jc w:val="center"/>
              <w:rPr>
                <w:rFonts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技术</w:t>
            </w:r>
            <w:r>
              <w:rPr>
                <w:rFonts w:hint="eastAsia" w:ascii="仿宋" w:hAnsi="仿宋" w:eastAsia="仿宋" w:cs="仿宋"/>
                <w:sz w:val="24"/>
                <w:szCs w:val="24"/>
              </w:rPr>
              <w:t>类评分）</w:t>
            </w:r>
          </w:p>
        </w:tc>
        <w:tc>
          <w:tcPr>
            <w:tcW w:w="806" w:type="dxa"/>
            <w:noWrap w:val="0"/>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3969" w:type="dxa"/>
            <w:noWrap w:val="0"/>
            <w:vAlign w:val="center"/>
          </w:tcPr>
          <w:p>
            <w:pPr>
              <w:rPr>
                <w:rFonts w:hint="eastAsia" w:ascii="仿宋" w:hAnsi="仿宋" w:eastAsia="仿宋" w:cs="仿宋"/>
                <w:sz w:val="24"/>
                <w:szCs w:val="24"/>
                <w:lang w:eastAsia="zh-CN"/>
              </w:rPr>
            </w:pPr>
            <w:r>
              <w:rPr>
                <w:rFonts w:hint="eastAsia" w:ascii="仿宋" w:hAnsi="仿宋" w:eastAsia="仿宋" w:cs="仿宋"/>
                <w:color w:val="auto"/>
                <w:sz w:val="24"/>
                <w:szCs w:val="24"/>
              </w:rPr>
              <w:t>根据供应商对本项目的软件和硬件设备配置情况的合理性、先进性、稳定性、优化性、真实性等及方面进行评审：软件和硬件设备配置合理、先进、稳定、优化、真实的得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 分；软件和硬件设备配置欠缺合理、欠缺先进、欠缺稳定、欠缺优化、欠缺真实的得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分；差的不得分</w:t>
            </w:r>
            <w:r>
              <w:rPr>
                <w:rFonts w:hint="eastAsia" w:ascii="仿宋" w:hAnsi="仿宋" w:eastAsia="仿宋" w:cs="仿宋"/>
                <w:color w:val="auto"/>
                <w:sz w:val="24"/>
                <w:szCs w:val="24"/>
                <w:lang w:eastAsia="zh-CN"/>
              </w:rPr>
              <w:t>。</w:t>
            </w:r>
          </w:p>
        </w:tc>
        <w:tc>
          <w:tcPr>
            <w:tcW w:w="3012"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以供应商提供的响应文件为依据。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57" w:type="dxa"/>
            <w:noWrap w:val="0"/>
            <w:vAlign w:val="center"/>
          </w:tcPr>
          <w:p>
            <w:pPr>
              <w:ind w:firstLine="28"/>
              <w:jc w:val="center"/>
              <w:rPr>
                <w:rFonts w:ascii="仿宋" w:hAnsi="仿宋" w:eastAsia="仿宋" w:cs="仿宋"/>
                <w:sz w:val="24"/>
                <w:szCs w:val="24"/>
              </w:rPr>
            </w:pPr>
            <w:r>
              <w:rPr>
                <w:rFonts w:hint="eastAsia" w:ascii="仿宋" w:hAnsi="仿宋" w:eastAsia="仿宋" w:cs="仿宋"/>
                <w:sz w:val="24"/>
                <w:szCs w:val="24"/>
              </w:rPr>
              <w:t>5</w:t>
            </w:r>
          </w:p>
        </w:tc>
        <w:tc>
          <w:tcPr>
            <w:tcW w:w="2099" w:type="dxa"/>
            <w:gridSpan w:val="2"/>
            <w:noWrap w:val="0"/>
            <w:vAlign w:val="center"/>
          </w:tcPr>
          <w:p>
            <w:pPr>
              <w:jc w:val="center"/>
              <w:rPr>
                <w:rFonts w:ascii="仿宋" w:hAnsi="仿宋" w:eastAsia="仿宋" w:cs="仿宋"/>
                <w:sz w:val="24"/>
                <w:szCs w:val="24"/>
              </w:rPr>
            </w:pPr>
            <w:r>
              <w:rPr>
                <w:rFonts w:hint="eastAsia" w:ascii="仿宋" w:hAnsi="仿宋" w:eastAsia="仿宋" w:cs="仿宋"/>
                <w:sz w:val="24"/>
                <w:szCs w:val="24"/>
              </w:rPr>
              <w:t>人员配置</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jc w:val="center"/>
              <w:rPr>
                <w:rFonts w:ascii="仿宋" w:hAnsi="仿宋" w:eastAsia="仿宋" w:cs="仿宋"/>
                <w:sz w:val="24"/>
                <w:szCs w:val="24"/>
              </w:rPr>
            </w:pPr>
            <w:r>
              <w:rPr>
                <w:rFonts w:hint="eastAsia" w:ascii="仿宋" w:hAnsi="仿宋" w:eastAsia="仿宋" w:cs="仿宋"/>
                <w:sz w:val="24"/>
                <w:szCs w:val="24"/>
              </w:rPr>
              <w:t>（共同类评分）</w:t>
            </w:r>
          </w:p>
        </w:tc>
        <w:tc>
          <w:tcPr>
            <w:tcW w:w="806" w:type="dxa"/>
            <w:noWrap w:val="0"/>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3969"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rPr>
              <w:t>针对本项目配备的工作人员满足</w:t>
            </w:r>
            <w:r>
              <w:rPr>
                <w:rFonts w:hint="eastAsia" w:ascii="仿宋" w:hAnsi="仿宋" w:eastAsia="仿宋" w:cs="仿宋"/>
                <w:sz w:val="24"/>
                <w:szCs w:val="24"/>
                <w:lang w:val="en-US" w:eastAsia="zh-CN"/>
              </w:rPr>
              <w:t>8</w:t>
            </w:r>
            <w:r>
              <w:rPr>
                <w:rFonts w:hint="eastAsia" w:ascii="仿宋" w:hAnsi="仿宋" w:eastAsia="仿宋" w:cs="仿宋"/>
                <w:sz w:val="24"/>
                <w:szCs w:val="24"/>
              </w:rPr>
              <w:t>名，得</w:t>
            </w:r>
            <w:r>
              <w:rPr>
                <w:rFonts w:hint="eastAsia" w:ascii="仿宋" w:hAnsi="仿宋" w:eastAsia="仿宋" w:cs="仿宋"/>
                <w:sz w:val="24"/>
                <w:szCs w:val="24"/>
                <w:lang w:val="en-US" w:eastAsia="zh-CN"/>
              </w:rPr>
              <w:t>4</w:t>
            </w:r>
            <w:r>
              <w:rPr>
                <w:rFonts w:hint="eastAsia" w:ascii="仿宋" w:hAnsi="仿宋" w:eastAsia="仿宋" w:cs="仿宋"/>
                <w:sz w:val="24"/>
                <w:szCs w:val="24"/>
              </w:rPr>
              <w:t>分。如不足</w:t>
            </w:r>
            <w:r>
              <w:rPr>
                <w:rFonts w:hint="eastAsia" w:ascii="仿宋" w:hAnsi="仿宋" w:eastAsia="仿宋" w:cs="仿宋"/>
                <w:sz w:val="24"/>
                <w:szCs w:val="24"/>
                <w:lang w:val="en-US" w:eastAsia="zh-CN"/>
              </w:rPr>
              <w:t>8</w:t>
            </w:r>
            <w:r>
              <w:rPr>
                <w:rFonts w:hint="eastAsia" w:ascii="仿宋" w:hAnsi="仿宋" w:eastAsia="仿宋" w:cs="仿宋"/>
                <w:sz w:val="24"/>
                <w:szCs w:val="24"/>
              </w:rPr>
              <w:t>名，每少一名扣</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，扣完为止。</w:t>
            </w:r>
          </w:p>
        </w:tc>
        <w:tc>
          <w:tcPr>
            <w:tcW w:w="3012"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提供证明材料（资质证书复印件）并加盖单位公章。以供应商提供的响应文件为依据。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7" w:type="dxa"/>
            <w:noWrap w:val="0"/>
            <w:vAlign w:val="center"/>
          </w:tcPr>
          <w:p>
            <w:pPr>
              <w:ind w:firstLine="28"/>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099" w:type="dxa"/>
            <w:gridSpan w:val="2"/>
            <w:noWrap w:val="0"/>
            <w:vAlign w:val="center"/>
          </w:tcPr>
          <w:p>
            <w:pPr>
              <w:jc w:val="center"/>
              <w:rPr>
                <w:rFonts w:ascii="仿宋" w:hAnsi="仿宋" w:eastAsia="仿宋" w:cs="仿宋"/>
                <w:sz w:val="24"/>
                <w:szCs w:val="24"/>
              </w:rPr>
            </w:pPr>
            <w:r>
              <w:rPr>
                <w:rFonts w:hint="eastAsia" w:ascii="仿宋" w:hAnsi="仿宋" w:eastAsia="仿宋" w:cs="仿宋"/>
                <w:sz w:val="24"/>
                <w:szCs w:val="24"/>
              </w:rPr>
              <w:t>履约能力</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pPr>
              <w:jc w:val="center"/>
              <w:rPr>
                <w:rFonts w:ascii="仿宋" w:hAnsi="仿宋" w:eastAsia="仿宋" w:cs="仿宋"/>
                <w:sz w:val="24"/>
                <w:szCs w:val="24"/>
              </w:rPr>
            </w:pPr>
            <w:r>
              <w:rPr>
                <w:rFonts w:hint="eastAsia" w:ascii="仿宋" w:hAnsi="仿宋" w:eastAsia="仿宋" w:cs="仿宋"/>
                <w:sz w:val="24"/>
                <w:szCs w:val="24"/>
              </w:rPr>
              <w:t>（共同类评分）</w:t>
            </w:r>
          </w:p>
        </w:tc>
        <w:tc>
          <w:tcPr>
            <w:tcW w:w="806" w:type="dxa"/>
            <w:noWrap w:val="0"/>
            <w:vAlign w:val="center"/>
          </w:tcPr>
          <w:p>
            <w:pPr>
              <w:jc w:val="center"/>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3969"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提供自</w:t>
            </w:r>
            <w:r>
              <w:rPr>
                <w:rFonts w:hint="eastAsia" w:ascii="仿宋" w:hAnsi="仿宋" w:eastAsia="仿宋" w:cs="仿宋"/>
                <w:sz w:val="24"/>
                <w:szCs w:val="24"/>
                <w:lang w:val="en-US" w:eastAsia="zh-CN"/>
              </w:rPr>
              <w:t>2019</w:t>
            </w:r>
            <w:r>
              <w:rPr>
                <w:rFonts w:hint="eastAsia" w:ascii="仿宋" w:hAnsi="仿宋" w:eastAsia="仿宋" w:cs="仿宋"/>
                <w:sz w:val="24"/>
                <w:szCs w:val="24"/>
              </w:rPr>
              <w:t>年至今类似项目履约经验， 每提供一个得</w:t>
            </w:r>
            <w:r>
              <w:rPr>
                <w:rFonts w:hint="eastAsia" w:ascii="仿宋" w:hAnsi="仿宋" w:eastAsia="仿宋" w:cs="仿宋"/>
                <w:sz w:val="24"/>
                <w:szCs w:val="24"/>
                <w:lang w:val="en-US" w:eastAsia="zh-CN"/>
              </w:rPr>
              <w:t>1</w:t>
            </w:r>
            <w:r>
              <w:rPr>
                <w:rFonts w:hint="eastAsia" w:ascii="仿宋" w:hAnsi="仿宋" w:eastAsia="仿宋" w:cs="仿宋"/>
                <w:sz w:val="24"/>
                <w:szCs w:val="24"/>
              </w:rPr>
              <w:t>分，最多得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3012"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提供证明材料（合同复印件或中标（成交）通知书复印件）并加盖单位公章。以供应商提供的响应文件为依据。</w:t>
            </w:r>
          </w:p>
        </w:tc>
      </w:tr>
    </w:tbl>
    <w:p>
      <w:pPr>
        <w:pStyle w:val="3"/>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pStyle w:val="18"/>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附件1</w:t>
      </w:r>
    </w:p>
    <w:p>
      <w:pPr>
        <w:spacing w:line="360" w:lineRule="exact"/>
        <w:jc w:val="center"/>
        <w:rPr>
          <w:rFonts w:ascii="仿宋_GB2312" w:hAnsi="仿宋" w:eastAsia="仿宋_GB2312" w:cs="黑体"/>
          <w:b/>
          <w:color w:val="000000" w:themeColor="text1"/>
          <w:sz w:val="28"/>
          <w:szCs w:val="28"/>
          <w14:textFill>
            <w14:solidFill>
              <w14:schemeClr w14:val="tx1"/>
            </w14:solidFill>
          </w14:textFill>
        </w:rPr>
      </w:pPr>
      <w:r>
        <w:rPr>
          <w:rFonts w:hint="eastAsia" w:ascii="仿宋_GB2312" w:hAnsi="仿宋" w:eastAsia="仿宋_GB2312" w:cs="黑体"/>
          <w:b/>
          <w:color w:val="000000" w:themeColor="text1"/>
          <w:sz w:val="28"/>
          <w:szCs w:val="28"/>
          <w14:textFill>
            <w14:solidFill>
              <w14:schemeClr w14:val="tx1"/>
            </w14:solidFill>
          </w14:textFill>
        </w:rPr>
        <w:t>报价单</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我单位作为响应供应商,对此次磋商活动中我方所承诺的条款已经完全明确,也深知所承诺的事项和作出的报价可能给我方带来的风险和后果。如果我方在磋商活动中有弄虚作假等违法违规行为，以及中选后因报价低或不执行承诺条款而不履约,本单位愿承担一切责任（包括赔偿损失、取消磋商及中选资格等），我单位报价为：</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393"/>
        <w:gridCol w:w="1645"/>
        <w:gridCol w:w="165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名称</w:t>
            </w:r>
          </w:p>
        </w:tc>
        <w:tc>
          <w:tcPr>
            <w:tcW w:w="1645"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总价（元）</w:t>
            </w:r>
          </w:p>
        </w:tc>
        <w:tc>
          <w:tcPr>
            <w:tcW w:w="1656"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服务期限</w:t>
            </w: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p>
        </w:tc>
        <w:tc>
          <w:tcPr>
            <w:tcW w:w="2393"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45"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656" w:type="dxa"/>
            <w:vAlign w:val="center"/>
          </w:tcPr>
          <w:p>
            <w:pPr>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971" w:type="dxa"/>
          </w:tcPr>
          <w:p>
            <w:pPr>
              <w:spacing w:line="360" w:lineRule="auto"/>
              <w:jc w:val="center"/>
              <w:rPr>
                <w:rFonts w:ascii="仿宋_GB2312" w:hAnsi="宋体" w:eastAsia="仿宋_GB2312" w:cs="宋体"/>
                <w:color w:val="000000" w:themeColor="text1"/>
                <w:sz w:val="24"/>
                <w14:textFill>
                  <w14:solidFill>
                    <w14:schemeClr w14:val="tx1"/>
                  </w14:solidFill>
                </w14:textFill>
              </w:rPr>
            </w:pPr>
          </w:p>
        </w:tc>
      </w:tr>
    </w:tbl>
    <w:p>
      <w:pPr>
        <w:pStyle w:val="2"/>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w:t>
      </w:r>
      <w:r>
        <w:rPr>
          <w:rFonts w:hint="eastAsia" w:ascii="仿宋" w:hAnsi="仿宋" w:eastAsia="仿宋" w:cs="宋体"/>
          <w:sz w:val="24"/>
        </w:rPr>
        <w:t>已包含税费和招标文件规定完成本项目所需要的其他费用。</w:t>
      </w:r>
      <w:r>
        <w:rPr>
          <w:rFonts w:hint="eastAsia" w:ascii="仿宋_GB2312" w:hAnsi="宋体" w:eastAsia="仿宋_GB2312" w:cs="宋体"/>
          <w:color w:val="000000" w:themeColor="text1"/>
          <w:sz w:val="24"/>
          <w14:textFill>
            <w14:solidFill>
              <w14:schemeClr w14:val="tx1"/>
            </w14:solidFill>
          </w14:textFill>
        </w:rPr>
        <w:t>2.报价有效期：90天。</w:t>
      </w: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p>
    <w:p>
      <w:pPr>
        <w:spacing w:line="540" w:lineRule="exact"/>
        <w:ind w:firstLine="660"/>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报价单格式可根据实际自行调整</w:t>
      </w:r>
    </w:p>
    <w:p>
      <w:pPr>
        <w:widowControl/>
        <w:jc w:val="left"/>
        <w:rPr>
          <w:rFonts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br w:type="page"/>
      </w:r>
    </w:p>
    <w:p>
      <w:pPr>
        <w:pStyle w:val="18"/>
        <w:widowControl w:val="0"/>
        <w:pBdr>
          <w:bottom w:val="none" w:color="auto" w:sz="0" w:space="0"/>
        </w:pBdr>
        <w:snapToGrid w:val="0"/>
        <w:spacing w:before="0" w:beforeAutospacing="0" w:after="0" w:afterAutospacing="0" w:line="540" w:lineRule="exact"/>
        <w:jc w:val="left"/>
        <w:textAlignment w:val="auto"/>
        <w:rPr>
          <w:rFonts w:ascii="仿宋_GB2312" w:hAnsi="仿宋" w:eastAsia="仿宋_GB2312" w:cs="仿宋"/>
          <w:color w:val="000000" w:themeColor="text1"/>
          <w:kern w:val="2"/>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附件2</w:t>
      </w:r>
    </w:p>
    <w:p>
      <w:pPr>
        <w:pStyle w:val="18"/>
        <w:widowControl w:val="0"/>
        <w:pBdr>
          <w:bottom w:val="none" w:color="auto" w:sz="0" w:space="0"/>
        </w:pBdr>
        <w:snapToGrid w:val="0"/>
        <w:spacing w:before="0" w:beforeAutospacing="0" w:after="0" w:afterAutospacing="0" w:line="540" w:lineRule="exact"/>
        <w:textAlignment w:val="auto"/>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kern w:val="2"/>
          <w14:textFill>
            <w14:solidFill>
              <w14:schemeClr w14:val="tx1"/>
            </w14:solidFill>
          </w14:textFill>
        </w:rPr>
        <w:t>法定代表人授权委托书</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法定代表人：</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委托代理人姓名：</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委托代理人职务：</w:t>
      </w:r>
    </w:p>
    <w:p>
      <w:pPr>
        <w:snapToGrid w:val="0"/>
        <w:spacing w:line="540" w:lineRule="exact"/>
        <w:rPr>
          <w:rFonts w:ascii="仿宋_GB2312" w:hAnsi="仿宋" w:eastAsia="仿宋_GB2312" w:cs="仿宋"/>
          <w:color w:val="000000" w:themeColor="text1"/>
          <w:sz w:val="24"/>
          <w:u w:val="single"/>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委托人现委托上列受委托人为我公司代理人，以本公司的名义参加</w:t>
      </w:r>
      <w:r>
        <w:rPr>
          <w:rFonts w:hint="eastAsia" w:ascii="仿宋_GB2312" w:hAnsi="仿宋" w:eastAsia="仿宋_GB2312" w:cs="仿宋"/>
          <w:color w:val="000000" w:themeColor="text1"/>
          <w:sz w:val="24"/>
          <w:u w:val="single"/>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委托代理人：       （签名）</w:t>
      </w: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p>
    <w:p>
      <w:pPr>
        <w:snapToGrid w:val="0"/>
        <w:spacing w:line="540" w:lineRule="exact"/>
        <w:ind w:firstLine="280"/>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_GB2312" w:hAnsi="仿宋" w:eastAsia="仿宋_GB2312" w:cs="仿宋"/>
          <w:color w:val="000000" w:themeColor="text1"/>
          <w:sz w:val="24"/>
          <w14:textFill>
            <w14:solidFill>
              <w14:schemeClr w14:val="tx1"/>
            </w14:solidFill>
          </w14:textFill>
        </w:rPr>
      </w:pPr>
    </w:p>
    <w:p>
      <w:pPr>
        <w:snapToGrid w:val="0"/>
        <w:spacing w:line="540" w:lineRule="exact"/>
        <w:ind w:right="480" w:firstLine="705"/>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 xml:space="preserve">                      年    月    日</w:t>
      </w:r>
    </w:p>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承诺函</w:t>
      </w:r>
    </w:p>
    <w:p>
      <w:pPr>
        <w:widowControl/>
        <w:spacing w:line="360" w:lineRule="atLeast"/>
        <w:jc w:val="center"/>
        <w:outlineLvl w:val="1"/>
        <w:rPr>
          <w:rFonts w:ascii="仿宋_GB2312" w:hAnsi="仿宋" w:eastAsia="仿宋_GB2312"/>
          <w:b/>
          <w:color w:val="000000" w:themeColor="text1"/>
          <w:sz w:val="24"/>
          <w14:textFill>
            <w14:solidFill>
              <w14:schemeClr w14:val="tx1"/>
            </w14:solidFill>
          </w14:textFill>
        </w:rPr>
      </w:pP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我单位作为本次采购项目的响应供应商，根据磋商文件要求，现郑重承诺如下：</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（七）磋商文件中规定的商务要求。（提供客观证明材料）</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完全接受和满足本项目比选文件中规定的实质性要求，如对磋商文件有异议，已经在磋商截止时间届满前依法进行维权救济，不存在对磋商文件有异议的同时又参加磋商以求侥幸中选或者为实现其他非法目的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三、参加本次磋商采购活动，不存在与单位负责人为同一人或者存在直接控股、管理关系的其他供应商参与同一合同项下的采购活动的行为。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四、参加本次磋商采购活动，不存在和其他供应商在同一合同项下的采购项目中，同时委托同一个自然人、同一家庭的人员、同一单位的人员作为代理人的行为。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五、如果有《四川省政府采购当事人诚信管理办法》（川财采[2015]33号）规定的记入诚信档案的失信行为，将在参选文件中全面如实反映。</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六、参选文件中提供的能够给予采购人带来优惠、好处的任何材料资料和技术、服务、商务等响应承诺情况都是真实的、有效的、合法的。</w:t>
      </w:r>
    </w:p>
    <w:p>
      <w:pPr>
        <w:widowControl/>
        <w:spacing w:line="320" w:lineRule="exact"/>
        <w:ind w:firstLine="560" w:firstLineChars="200"/>
        <w:jc w:val="left"/>
        <w:outlineLvl w:val="1"/>
        <w:rPr>
          <w:rFonts w:ascii="仿宋_GB2312" w:hAnsi="仿宋" w:eastAsia="仿宋_GB2312" w:cs="楷体"/>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w:t>
      </w:r>
      <w:r>
        <w:rPr>
          <w:rFonts w:hint="eastAsia" w:ascii="仿宋_GB2312" w:hAnsi="仿宋" w:eastAsia="仿宋_GB2312"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_GB2312" w:hAnsi="仿宋" w:eastAsia="仿宋_GB2312"/>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供应商名称：（单位公章）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附件4</w:t>
      </w:r>
    </w:p>
    <w:p>
      <w:pPr>
        <w:widowControl/>
        <w:spacing w:line="360" w:lineRule="atLeast"/>
        <w:jc w:val="left"/>
        <w:outlineLvl w:val="1"/>
        <w:rPr>
          <w:rFonts w:ascii="仿宋_GB2312" w:hAnsi="仿宋" w:eastAsia="仿宋_GB2312"/>
          <w:b/>
          <w:color w:val="000000" w:themeColor="text1"/>
          <w:sz w:val="24"/>
          <w14:textFill>
            <w14:solidFill>
              <w14:schemeClr w14:val="tx1"/>
            </w14:solidFill>
          </w14:textFill>
        </w:rPr>
      </w:pPr>
    </w:p>
    <w:p>
      <w:pPr>
        <w:pStyle w:val="6"/>
        <w:jc w:val="center"/>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相关方案</w:t>
      </w:r>
    </w:p>
    <w:p>
      <w:pPr>
        <w:rPr>
          <w:rFonts w:ascii="仿宋_GB2312" w:hAnsi="仿宋" w:eastAsia="仿宋_GB2312"/>
          <w:b/>
          <w:color w:val="000000" w:themeColor="text1"/>
          <w:sz w:val="28"/>
          <w:szCs w:val="28"/>
          <w:lang w:val="zh-CN"/>
          <w14:textFill>
            <w14:solidFill>
              <w14:schemeClr w14:val="tx1"/>
            </w14:solidFill>
          </w14:textFill>
        </w:rPr>
      </w:pPr>
      <w:r>
        <w:rPr>
          <w:rFonts w:hint="eastAsia" w:ascii="仿宋_GB2312" w:hAnsi="仿宋" w:eastAsia="仿宋_GB2312" w:cs="Times New Roman"/>
          <w:color w:val="000000" w:themeColor="text1"/>
          <w:sz w:val="28"/>
          <w:szCs w:val="28"/>
          <w:lang w:val="zh-CN"/>
          <w14:textFill>
            <w14:solidFill>
              <w14:schemeClr w14:val="tx1"/>
            </w14:solidFill>
          </w14:textFill>
        </w:rPr>
        <w:t>请</w:t>
      </w:r>
      <w:r>
        <w:rPr>
          <w:rFonts w:hint="eastAsia" w:ascii="仿宋_GB2312" w:hAnsi="仿宋" w:eastAsia="仿宋_GB2312" w:cs="Times New Roman"/>
          <w:color w:val="000000" w:themeColor="text1"/>
          <w:sz w:val="28"/>
          <w:szCs w:val="28"/>
          <w:lang w:val="en-US" w:eastAsia="zh-CN"/>
          <w14:textFill>
            <w14:solidFill>
              <w14:schemeClr w14:val="tx1"/>
            </w14:solidFill>
          </w14:textFill>
        </w:rPr>
        <w:t>供应商</w:t>
      </w:r>
      <w:bookmarkStart w:id="1" w:name="_GoBack"/>
      <w:bookmarkEnd w:id="1"/>
      <w:r>
        <w:rPr>
          <w:rFonts w:hint="eastAsia" w:ascii="仿宋_GB2312" w:hAnsi="仿宋" w:eastAsia="仿宋_GB2312" w:cs="Times New Roman"/>
          <w:color w:val="000000" w:themeColor="text1"/>
          <w:sz w:val="28"/>
          <w:szCs w:val="28"/>
          <w:lang w:val="zh-CN"/>
          <w14:textFill>
            <w14:solidFill>
              <w14:schemeClr w14:val="tx1"/>
            </w14:solidFill>
          </w14:textFill>
        </w:rPr>
        <w:t>根据我中心情况编制相关方案。排版等可自行调整。</w:t>
      </w:r>
      <w:r>
        <w:rPr>
          <w:rFonts w:hint="eastAsia" w:ascii="仿宋_GB2312" w:hAnsi="仿宋" w:eastAsia="仿宋_GB2312"/>
          <w:b/>
          <w:color w:val="000000" w:themeColor="text1"/>
          <w:sz w:val="28"/>
          <w:szCs w:val="28"/>
          <w:lang w:val="zh-CN"/>
          <w14:textFill>
            <w14:solidFill>
              <w14:schemeClr w14:val="tx1"/>
            </w14:solidFill>
          </w14:textFill>
        </w:rPr>
        <w:t xml:space="preserve"> </w:t>
      </w:r>
    </w:p>
    <w:p>
      <w:pPr>
        <w:jc w:val="center"/>
        <w:rPr>
          <w:rFonts w:ascii="仿宋_GB2312" w:hAnsi="仿宋" w:eastAsia="仿宋_GB2312"/>
          <w:b/>
          <w:bCs/>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left="0" w:leftChars="0"/>
        <w:rPr>
          <w:rFonts w:ascii="仿宋_GB2312" w:hAnsi="仿宋" w:eastAsia="仿宋_GB2312"/>
          <w:color w:val="000000" w:themeColor="text1"/>
          <w:sz w:val="28"/>
          <w:szCs w:val="28"/>
          <w14:textFill>
            <w14:solidFill>
              <w14:schemeClr w14:val="tx1"/>
            </w14:solidFill>
          </w14:textFill>
        </w:rPr>
      </w:pP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供应商</w:t>
      </w:r>
      <w:r>
        <w:rPr>
          <w:rFonts w:hint="eastAsia" w:ascii="仿宋_GB2312" w:hAnsi="仿宋" w:eastAsia="仿宋_GB2312"/>
          <w:color w:val="000000" w:themeColor="text1"/>
          <w:sz w:val="28"/>
          <w:szCs w:val="28"/>
          <w14:textFill>
            <w14:solidFill>
              <w14:schemeClr w14:val="tx1"/>
            </w14:solidFill>
          </w14:textFill>
        </w:rPr>
        <w:t>名称：（盖章）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磋商</w:t>
      </w:r>
      <w:r>
        <w:rPr>
          <w:rFonts w:hint="eastAsia" w:ascii="仿宋_GB2312" w:hAnsi="仿宋" w:eastAsia="仿宋_GB2312"/>
          <w:color w:val="000000" w:themeColor="text1"/>
          <w:sz w:val="28"/>
          <w:szCs w:val="28"/>
          <w14:textFill>
            <w14:solidFill>
              <w14:schemeClr w14:val="tx1"/>
            </w14:solidFill>
          </w14:textFill>
        </w:rPr>
        <w:t>日期:</w:t>
      </w:r>
    </w:p>
    <w:p>
      <w:pPr>
        <w:pStyle w:val="2"/>
        <w:rPr>
          <w:rFonts w:ascii="仿宋_GB2312" w:eastAsia="仿宋_GB2312" w:cs="Times New Roman"/>
          <w:color w:val="000000" w:themeColor="text1"/>
          <w:lang w:val="zh-CN"/>
          <w14:textFill>
            <w14:solidFill>
              <w14:schemeClr w14:val="tx1"/>
            </w14:solidFill>
          </w14:textFill>
        </w:rPr>
      </w:pPr>
      <w:r>
        <w:rPr>
          <w:rFonts w:hint="eastAsia" w:ascii="仿宋_GB2312" w:eastAsia="仿宋_GB2312"/>
          <w:color w:val="000000" w:themeColor="text1"/>
          <w14:textFill>
            <w14:solidFill>
              <w14:schemeClr w14:val="tx1"/>
            </w14:solidFill>
          </w14:textFill>
        </w:rPr>
        <w:br w:type="page"/>
      </w:r>
    </w:p>
    <w:p>
      <w:pPr>
        <w:pStyle w:val="6"/>
        <w:ind w:firstLine="840" w:firstLineChars="300"/>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_GB2312" w:hAnsi="仿宋" w:eastAsia="仿宋_GB2312"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b/>
                <w:color w:val="000000" w:themeColor="text1"/>
                <w:sz w:val="22"/>
                <w:szCs w:val="22"/>
                <w14:textFill>
                  <w14:solidFill>
                    <w14:schemeClr w14:val="tx1"/>
                  </w14:solidFill>
                </w14:textFill>
              </w:rPr>
            </w:pPr>
            <w:r>
              <w:rPr>
                <w:rFonts w:hint="eastAsia" w:ascii="仿宋_GB2312" w:hAnsi="仿宋" w:eastAsia="仿宋_GB2312"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依法缴纳税收和社会保障资金的证明材料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 w:eastAsia="仿宋_GB2312"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仿宋" w:eastAsia="仿宋_GB2312" w:cs="宋体"/>
                <w:color w:val="000000" w:themeColor="text1"/>
                <w:sz w:val="22"/>
                <w:szCs w:val="22"/>
                <w14:textFill>
                  <w14:solidFill>
                    <w14:schemeClr w14:val="tx1"/>
                  </w14:solidFill>
                </w14:textFill>
              </w:rPr>
            </w:pPr>
            <w:r>
              <w:rPr>
                <w:rFonts w:hint="eastAsia" w:ascii="仿宋_GB2312" w:hAnsi="仿宋" w:eastAsia="仿宋_GB2312"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_GB2312" w:hAnsi="仿宋" w:eastAsia="仿宋_GB2312" w:cs="宋体"/>
                <w:color w:val="000000" w:themeColor="text1"/>
                <w:kern w:val="0"/>
                <w:sz w:val="22"/>
                <w:szCs w:val="22"/>
                <w14:textFill>
                  <w14:solidFill>
                    <w14:schemeClr w14:val="tx1"/>
                  </w14:solidFill>
                </w14:textFill>
              </w:rPr>
            </w:pPr>
            <w:r>
              <w:rPr>
                <w:rFonts w:hint="eastAsia" w:ascii="仿宋_GB2312" w:hAnsi="仿宋" w:eastAsia="仿宋_GB2312"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仿宋" w:eastAsia="仿宋_GB2312" w:cs="宋体"/>
                <w:color w:val="000000" w:themeColor="text1"/>
                <w:sz w:val="22"/>
                <w:szCs w:val="22"/>
                <w14:textFill>
                  <w14:solidFill>
                    <w14:schemeClr w14:val="tx1"/>
                  </w14:solidFill>
                </w14:textFill>
              </w:rPr>
            </w:pPr>
          </w:p>
        </w:tc>
      </w:tr>
    </w:tbl>
    <w:p>
      <w:pPr>
        <w:jc w:val="left"/>
        <w:rPr>
          <w:rFonts w:ascii="仿宋_GB2312" w:hAnsi="仿宋" w:eastAsia="仿宋_GB2312"/>
          <w:color w:val="000000" w:themeColor="text1"/>
          <w:sz w:val="32"/>
          <w:szCs w:val="32"/>
          <w14:textFill>
            <w14:solidFill>
              <w14:schemeClr w14:val="tx1"/>
            </w14:solidFill>
          </w14:textFill>
        </w:rPr>
      </w:pP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附件6：服务要求响应文件</w:t>
      </w:r>
    </w:p>
    <w:p>
      <w:pPr>
        <w:rPr>
          <w:rFonts w:ascii="仿宋_GB2312" w:hAnsi="仿宋" w:eastAsia="仿宋_GB2312"/>
          <w:color w:val="000000" w:themeColor="text1"/>
          <w:sz w:val="28"/>
          <w:szCs w:val="28"/>
          <w14:textFill>
            <w14:solidFill>
              <w14:schemeClr w14:val="tx1"/>
            </w14:solidFill>
          </w14:textFill>
        </w:rPr>
      </w:pPr>
    </w:p>
    <w:p>
      <w:pPr>
        <w:jc w:val="left"/>
        <w:rPr>
          <w:rFonts w:ascii="仿宋_GB2312" w:hAnsi="仿宋" w:eastAsia="仿宋_GB2312"/>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4"/>
                <w14:textFill>
                  <w14:solidFill>
                    <w14:schemeClr w14:val="tx1"/>
                  </w14:solidFill>
                </w14:textFill>
              </w:rPr>
            </w:pPr>
            <w:r>
              <w:rPr>
                <w:rFonts w:hint="eastAsia" w:ascii="仿宋_GB2312" w:hAnsi="仿宋" w:eastAsia="仿宋_GB2312" w:cs="宋体"/>
                <w:b/>
                <w:bCs/>
                <w:color w:val="000000" w:themeColor="text1"/>
                <w:kern w:val="0"/>
                <w:sz w:val="24"/>
                <w14:textFill>
                  <w14:solidFill>
                    <w14:schemeClr w14:val="tx1"/>
                  </w14:solidFill>
                </w14:textFill>
              </w:rPr>
              <w:t>服务要求响应文件（格式要求）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仿宋" w:eastAsia="仿宋_GB2312" w:cs="宋体"/>
                <w:b/>
                <w:bCs/>
                <w:color w:val="000000" w:themeColor="text1"/>
                <w:kern w:val="0"/>
                <w:szCs w:val="21"/>
                <w14:textFill>
                  <w14:solidFill>
                    <w14:schemeClr w14:val="tx1"/>
                  </w14:solidFill>
                </w14:textFill>
              </w:rPr>
            </w:pPr>
            <w:r>
              <w:rPr>
                <w:rFonts w:hint="eastAsia" w:ascii="仿宋_GB2312" w:hAnsi="仿宋" w:eastAsia="仿宋_GB2312" w:cs="宋体"/>
                <w:b/>
                <w:bCs/>
                <w:color w:val="000000" w:themeColor="text1"/>
                <w:kern w:val="0"/>
                <w:szCs w:val="21"/>
                <w14:textFill>
                  <w14:solidFill>
                    <w14:schemeClr w14:val="tx1"/>
                  </w14:solidFill>
                </w14:textFill>
              </w:rPr>
              <w:t>服务要求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响应条款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color w:val="000000" w:themeColor="text1"/>
                <w:kern w:val="0"/>
                <w:sz w:val="22"/>
                <w:szCs w:val="22"/>
                <w14:textFill>
                  <w14:solidFill>
                    <w14:schemeClr w14:val="tx1"/>
                  </w14:solidFill>
                </w14:textFill>
              </w:rPr>
            </w:pPr>
            <w:r>
              <w:rPr>
                <w:rFonts w:hint="eastAsia" w:ascii="仿宋_GB2312" w:hAnsi="仿宋" w:eastAsia="仿宋_GB2312"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w:t>
            </w:r>
          </w:p>
        </w:tc>
      </w:tr>
    </w:tbl>
    <w:p>
      <w:pPr>
        <w:jc w:val="left"/>
        <w:rPr>
          <w:rFonts w:ascii="仿宋_GB2312" w:hAnsi="仿宋" w:eastAsia="仿宋_GB2312"/>
          <w:color w:val="000000" w:themeColor="text1"/>
          <w:sz w:val="24"/>
          <w:szCs w:val="32"/>
          <w14:textFill>
            <w14:solidFill>
              <w14:schemeClr w14:val="tx1"/>
            </w14:solidFill>
          </w14:textFill>
        </w:rPr>
      </w:pPr>
      <w:r>
        <w:rPr>
          <w:rFonts w:hint="eastAsia" w:ascii="仿宋_GB2312" w:hAnsi="仿宋" w:eastAsia="仿宋_GB2312"/>
          <w:color w:val="000000" w:themeColor="text1"/>
          <w:sz w:val="24"/>
          <w:szCs w:val="32"/>
          <w14:textFill>
            <w14:solidFill>
              <w14:schemeClr w14:val="tx1"/>
            </w14:solidFill>
          </w14:textFill>
        </w:rPr>
        <w:t>备注：如以上标注为响应，但提供相关客观证明材料显示该参数并未响应，则视为未响应。</w:t>
      </w:r>
    </w:p>
    <w:p>
      <w:pPr>
        <w:jc w:val="left"/>
        <w:rPr>
          <w:rFonts w:ascii="仿宋_GB2312" w:hAnsi="仿宋" w:eastAsia="仿宋_GB2312"/>
          <w:b/>
          <w:color w:val="000000" w:themeColor="text1"/>
          <w:sz w:val="36"/>
          <w:szCs w:val="32"/>
          <w14:textFill>
            <w14:solidFill>
              <w14:schemeClr w14:val="tx1"/>
            </w14:solidFill>
          </w14:textFill>
        </w:rPr>
      </w:pPr>
      <w:r>
        <w:rPr>
          <w:rFonts w:hint="eastAsia" w:ascii="仿宋_GB2312" w:hAnsi="仿宋" w:eastAsia="仿宋_GB2312"/>
          <w:b/>
          <w:color w:val="000000" w:themeColor="text1"/>
          <w:sz w:val="36"/>
          <w:szCs w:val="32"/>
          <w14:textFill>
            <w14:solidFill>
              <w14:schemeClr w14:val="tx1"/>
            </w14:solidFill>
          </w14:textFill>
        </w:rPr>
        <w:t>表格可根据实际情况进行调整。</w:t>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widowControl/>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附件7：商务要求文件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_GB2312" w:hAnsi="仿宋" w:eastAsia="仿宋_GB2312" w:cs="仿宋"/>
                <w:color w:val="000000" w:themeColor="text1"/>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响应条款</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_GB2312" w:hAnsi="仿宋" w:eastAsia="仿宋_GB2312" w:cs="仿宋"/>
                <w:b/>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1</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2</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_GB2312" w:hAnsi="仿宋" w:eastAsia="仿宋_GB2312" w:cs="仿宋"/>
                <w:color w:val="000000" w:themeColor="text1"/>
                <w:kern w:val="0"/>
                <w:sz w:val="24"/>
                <w:szCs w:val="24"/>
                <w14:textFill>
                  <w14:solidFill>
                    <w14:schemeClr w14:val="tx1"/>
                  </w14:solidFill>
                </w14:textFill>
              </w:rPr>
            </w:pPr>
            <w:r>
              <w:rPr>
                <w:rFonts w:hint="eastAsia" w:ascii="仿宋_GB2312" w:hAnsi="仿宋" w:eastAsia="仿宋_GB2312" w:cs="仿宋"/>
                <w:color w:val="000000" w:themeColor="text1"/>
                <w:kern w:val="0"/>
                <w:sz w:val="24"/>
                <w:szCs w:val="24"/>
                <w14:textFill>
                  <w14:solidFill>
                    <w14:schemeClr w14:val="tx1"/>
                  </w14:solidFill>
                </w14:textFill>
              </w:rPr>
              <w:t>3</w:t>
            </w:r>
          </w:p>
        </w:tc>
        <w:tc>
          <w:tcPr>
            <w:tcW w:w="1418" w:type="dxa"/>
          </w:tcPr>
          <w:p>
            <w:pPr>
              <w:rPr>
                <w:rFonts w:ascii="仿宋_GB2312" w:eastAsia="仿宋_GB2312"/>
                <w:color w:val="000000" w:themeColor="text1"/>
                <w14:textFill>
                  <w14:solidFill>
                    <w14:schemeClr w14:val="tx1"/>
                  </w14:solidFill>
                </w14:textFill>
              </w:rPr>
            </w:pPr>
          </w:p>
        </w:tc>
        <w:tc>
          <w:tcPr>
            <w:tcW w:w="5386" w:type="dxa"/>
            <w:noWrap/>
          </w:tcPr>
          <w:p>
            <w:pPr>
              <w:rPr>
                <w:rFonts w:ascii="仿宋_GB2312" w:eastAsia="仿宋_GB2312"/>
                <w:color w:val="000000" w:themeColor="text1"/>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_GB2312" w:hAnsi="仿宋" w:eastAsia="仿宋_GB2312" w:cs="仿宋"/>
                <w:color w:val="000000" w:themeColor="text1"/>
                <w:kern w:val="0"/>
                <w:sz w:val="24"/>
                <w:szCs w:val="24"/>
                <w14:textFill>
                  <w14:solidFill>
                    <w14:schemeClr w14:val="tx1"/>
                  </w14:solidFill>
                </w14:textFill>
              </w:rPr>
            </w:pPr>
          </w:p>
        </w:tc>
      </w:tr>
    </w:tbl>
    <w:p>
      <w:pPr>
        <w:pStyle w:val="3"/>
        <w:ind w:firstLine="0" w:firstLineChars="0"/>
        <w:rPr>
          <w:rFonts w:ascii="仿宋_GB2312" w:hAnsi="仿宋" w:eastAsia="仿宋_GB2312" w:cstheme="minorEastAsia"/>
          <w:b/>
          <w:color w:val="000000" w:themeColor="text1"/>
          <w:sz w:val="28"/>
          <w:szCs w:val="28"/>
          <w14:textFill>
            <w14:solidFill>
              <w14:schemeClr w14:val="tx1"/>
            </w14:solidFill>
          </w14:textFill>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BE24B"/>
    <w:multiLevelType w:val="singleLevel"/>
    <w:tmpl w:val="0A2BE24B"/>
    <w:lvl w:ilvl="0" w:tentative="0">
      <w:start w:val="2"/>
      <w:numFmt w:val="chineseCounting"/>
      <w:suff w:val="nothing"/>
      <w:lvlText w:val="%1、"/>
      <w:lvlJc w:val="left"/>
      <w:rPr>
        <w:rFonts w:hint="eastAsia"/>
      </w:rPr>
    </w:lvl>
  </w:abstractNum>
  <w:abstractNum w:abstractNumId="1">
    <w:nsid w:val="1A2DC3B5"/>
    <w:multiLevelType w:val="singleLevel"/>
    <w:tmpl w:val="1A2DC3B5"/>
    <w:lvl w:ilvl="0" w:tentative="0">
      <w:start w:val="4"/>
      <w:numFmt w:val="chineseCounting"/>
      <w:suff w:val="nothing"/>
      <w:lvlText w:val="%1、"/>
      <w:lvlJc w:val="left"/>
      <w:pPr>
        <w:ind w:left="420" w:leftChars="0" w:firstLine="0" w:firstLineChars="0"/>
      </w:pPr>
      <w:rPr>
        <w:rFonts w:hint="eastAsia"/>
      </w:rPr>
    </w:lvl>
  </w:abstractNum>
  <w:abstractNum w:abstractNumId="2">
    <w:nsid w:val="451CD9E2"/>
    <w:multiLevelType w:val="singleLevel"/>
    <w:tmpl w:val="451CD9E2"/>
    <w:lvl w:ilvl="0" w:tentative="0">
      <w:start w:val="4"/>
      <w:numFmt w:val="chineseCounting"/>
      <w:suff w:val="space"/>
      <w:lvlText w:val="第%1部分"/>
      <w:lvlJc w:val="left"/>
      <w:rPr>
        <w:rFonts w:hint="eastAsia"/>
      </w:rPr>
    </w:lvl>
  </w:abstractNum>
  <w:abstractNum w:abstractNumId="3">
    <w:nsid w:val="6F84C9F3"/>
    <w:multiLevelType w:val="singleLevel"/>
    <w:tmpl w:val="6F84C9F3"/>
    <w:lvl w:ilvl="0" w:tentative="0">
      <w:start w:val="3"/>
      <w:numFmt w:val="chineseCounting"/>
      <w:suff w:val="nothing"/>
      <w:lvlText w:val="%1、"/>
      <w:lvlJc w:val="left"/>
      <w:pPr>
        <w:ind w:left="480" w:leftChars="0" w:firstLine="0" w:firstLineChars="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TZlYzZkNGNhMmRiYWI1NWQzNTk0NzYxNmU0NWEifQ=="/>
  </w:docVars>
  <w:rsids>
    <w:rsidRoot w:val="00000000"/>
    <w:rsid w:val="00296707"/>
    <w:rsid w:val="00381968"/>
    <w:rsid w:val="007B5C06"/>
    <w:rsid w:val="007E2EF7"/>
    <w:rsid w:val="007F27CB"/>
    <w:rsid w:val="008102F1"/>
    <w:rsid w:val="00893649"/>
    <w:rsid w:val="00CE60FA"/>
    <w:rsid w:val="00FC3E1B"/>
    <w:rsid w:val="012A4E2C"/>
    <w:rsid w:val="014360A6"/>
    <w:rsid w:val="018F4C90"/>
    <w:rsid w:val="01956B2F"/>
    <w:rsid w:val="01E23011"/>
    <w:rsid w:val="022F71CF"/>
    <w:rsid w:val="02367A76"/>
    <w:rsid w:val="02A36C44"/>
    <w:rsid w:val="04504BAA"/>
    <w:rsid w:val="0466617C"/>
    <w:rsid w:val="0486237A"/>
    <w:rsid w:val="04B85665"/>
    <w:rsid w:val="051C683A"/>
    <w:rsid w:val="052971A9"/>
    <w:rsid w:val="06D25D4A"/>
    <w:rsid w:val="06F219D0"/>
    <w:rsid w:val="07463716"/>
    <w:rsid w:val="07512747"/>
    <w:rsid w:val="075A189C"/>
    <w:rsid w:val="07C1065E"/>
    <w:rsid w:val="07FE491D"/>
    <w:rsid w:val="08D15D05"/>
    <w:rsid w:val="08F85810"/>
    <w:rsid w:val="0972111F"/>
    <w:rsid w:val="09A2546B"/>
    <w:rsid w:val="09B94F9F"/>
    <w:rsid w:val="09FF3F15"/>
    <w:rsid w:val="0A1977EC"/>
    <w:rsid w:val="0A91731D"/>
    <w:rsid w:val="0ABA54C5"/>
    <w:rsid w:val="0AE56C99"/>
    <w:rsid w:val="0B0F12E8"/>
    <w:rsid w:val="0B2B3C7B"/>
    <w:rsid w:val="0B303D57"/>
    <w:rsid w:val="0C0B13B7"/>
    <w:rsid w:val="0C167E5A"/>
    <w:rsid w:val="0C1C5719"/>
    <w:rsid w:val="0C2F32F7"/>
    <w:rsid w:val="0C513239"/>
    <w:rsid w:val="0D044784"/>
    <w:rsid w:val="0D3037CB"/>
    <w:rsid w:val="0DD759F4"/>
    <w:rsid w:val="0E1E3623"/>
    <w:rsid w:val="0E283882"/>
    <w:rsid w:val="0E611762"/>
    <w:rsid w:val="0E855F08"/>
    <w:rsid w:val="0FFE7622"/>
    <w:rsid w:val="10944BC0"/>
    <w:rsid w:val="10A51DDA"/>
    <w:rsid w:val="10EA5A3E"/>
    <w:rsid w:val="10F62635"/>
    <w:rsid w:val="113117FC"/>
    <w:rsid w:val="11780435"/>
    <w:rsid w:val="121C431D"/>
    <w:rsid w:val="122E5BFC"/>
    <w:rsid w:val="125C0BBE"/>
    <w:rsid w:val="12955767"/>
    <w:rsid w:val="12D41E74"/>
    <w:rsid w:val="13391FCB"/>
    <w:rsid w:val="136F1CA1"/>
    <w:rsid w:val="13CB7DA9"/>
    <w:rsid w:val="14476389"/>
    <w:rsid w:val="14BC5944"/>
    <w:rsid w:val="15205ED3"/>
    <w:rsid w:val="156009C5"/>
    <w:rsid w:val="156A35F2"/>
    <w:rsid w:val="159D39C7"/>
    <w:rsid w:val="15AD4FB3"/>
    <w:rsid w:val="16461969"/>
    <w:rsid w:val="16A448E1"/>
    <w:rsid w:val="172779EC"/>
    <w:rsid w:val="17667DE9"/>
    <w:rsid w:val="17EE050A"/>
    <w:rsid w:val="17FD24FB"/>
    <w:rsid w:val="180C0084"/>
    <w:rsid w:val="183D03C4"/>
    <w:rsid w:val="186164A1"/>
    <w:rsid w:val="18F84F64"/>
    <w:rsid w:val="192F0DDA"/>
    <w:rsid w:val="19371A3D"/>
    <w:rsid w:val="19D76D7C"/>
    <w:rsid w:val="1AEC6857"/>
    <w:rsid w:val="1B991D22"/>
    <w:rsid w:val="1C0A3439"/>
    <w:rsid w:val="1DA376A1"/>
    <w:rsid w:val="1DE34C93"/>
    <w:rsid w:val="1E2606AA"/>
    <w:rsid w:val="1E370E0A"/>
    <w:rsid w:val="1E537319"/>
    <w:rsid w:val="1E71779F"/>
    <w:rsid w:val="1E85149C"/>
    <w:rsid w:val="1E94348E"/>
    <w:rsid w:val="1ECD36C1"/>
    <w:rsid w:val="1F1B5BCA"/>
    <w:rsid w:val="1F58270D"/>
    <w:rsid w:val="1F6455E7"/>
    <w:rsid w:val="1F83778A"/>
    <w:rsid w:val="1F9D35E4"/>
    <w:rsid w:val="1FA0658E"/>
    <w:rsid w:val="1FBF0063"/>
    <w:rsid w:val="2046102C"/>
    <w:rsid w:val="205B24B5"/>
    <w:rsid w:val="211865F8"/>
    <w:rsid w:val="219F2875"/>
    <w:rsid w:val="22813D29"/>
    <w:rsid w:val="229816E8"/>
    <w:rsid w:val="23152DEF"/>
    <w:rsid w:val="23A33334"/>
    <w:rsid w:val="23C87E61"/>
    <w:rsid w:val="2443409A"/>
    <w:rsid w:val="24A0493A"/>
    <w:rsid w:val="24EC7B7F"/>
    <w:rsid w:val="24EE143D"/>
    <w:rsid w:val="251A7B30"/>
    <w:rsid w:val="253B4663"/>
    <w:rsid w:val="25431AA5"/>
    <w:rsid w:val="25BF5294"/>
    <w:rsid w:val="25E92311"/>
    <w:rsid w:val="25FF1B34"/>
    <w:rsid w:val="263A0DBE"/>
    <w:rsid w:val="2676725B"/>
    <w:rsid w:val="26812549"/>
    <w:rsid w:val="2685028B"/>
    <w:rsid w:val="26993D37"/>
    <w:rsid w:val="26CA0394"/>
    <w:rsid w:val="27DC037F"/>
    <w:rsid w:val="27F76F67"/>
    <w:rsid w:val="2805633E"/>
    <w:rsid w:val="28253E09"/>
    <w:rsid w:val="282A314C"/>
    <w:rsid w:val="297B6E5A"/>
    <w:rsid w:val="29C47A98"/>
    <w:rsid w:val="29FB0865"/>
    <w:rsid w:val="2A2162F9"/>
    <w:rsid w:val="2A694A32"/>
    <w:rsid w:val="2ADC3451"/>
    <w:rsid w:val="2B361B54"/>
    <w:rsid w:val="2B475E3E"/>
    <w:rsid w:val="2BB41DAA"/>
    <w:rsid w:val="2C273B93"/>
    <w:rsid w:val="2C471B3F"/>
    <w:rsid w:val="2C4E033E"/>
    <w:rsid w:val="2C581781"/>
    <w:rsid w:val="2C666469"/>
    <w:rsid w:val="2C7F577D"/>
    <w:rsid w:val="2C9B5813"/>
    <w:rsid w:val="2CA90A4C"/>
    <w:rsid w:val="2CAD5E46"/>
    <w:rsid w:val="2D353928"/>
    <w:rsid w:val="2D3A16A4"/>
    <w:rsid w:val="2DB02DC9"/>
    <w:rsid w:val="2DBA2F11"/>
    <w:rsid w:val="2DEC5317"/>
    <w:rsid w:val="2DFA25AF"/>
    <w:rsid w:val="2E051061"/>
    <w:rsid w:val="2E1D524D"/>
    <w:rsid w:val="2E580034"/>
    <w:rsid w:val="2E5E3A6F"/>
    <w:rsid w:val="2EB22BA6"/>
    <w:rsid w:val="2EDE2C2F"/>
    <w:rsid w:val="2F61560E"/>
    <w:rsid w:val="2F77273B"/>
    <w:rsid w:val="2FC260AC"/>
    <w:rsid w:val="300A6574"/>
    <w:rsid w:val="302E54F0"/>
    <w:rsid w:val="30374237"/>
    <w:rsid w:val="304C1E1A"/>
    <w:rsid w:val="306E1938"/>
    <w:rsid w:val="308B46F0"/>
    <w:rsid w:val="3091694F"/>
    <w:rsid w:val="30A4493E"/>
    <w:rsid w:val="31055F26"/>
    <w:rsid w:val="323625BC"/>
    <w:rsid w:val="3253123E"/>
    <w:rsid w:val="32786EF6"/>
    <w:rsid w:val="328C4750"/>
    <w:rsid w:val="331325B6"/>
    <w:rsid w:val="335F3C12"/>
    <w:rsid w:val="33DA5E7C"/>
    <w:rsid w:val="33FE78CF"/>
    <w:rsid w:val="34264730"/>
    <w:rsid w:val="345F4FA4"/>
    <w:rsid w:val="34A73AC3"/>
    <w:rsid w:val="34AE4E3B"/>
    <w:rsid w:val="34D361FA"/>
    <w:rsid w:val="35905114"/>
    <w:rsid w:val="35A973C7"/>
    <w:rsid w:val="36026B8E"/>
    <w:rsid w:val="360A60B7"/>
    <w:rsid w:val="368F480F"/>
    <w:rsid w:val="36D30B9F"/>
    <w:rsid w:val="370F76FD"/>
    <w:rsid w:val="377203B8"/>
    <w:rsid w:val="378B4F33"/>
    <w:rsid w:val="378B76CC"/>
    <w:rsid w:val="37A662B4"/>
    <w:rsid w:val="37EA7CD5"/>
    <w:rsid w:val="38303DCF"/>
    <w:rsid w:val="3862042D"/>
    <w:rsid w:val="38D85FC6"/>
    <w:rsid w:val="399860D0"/>
    <w:rsid w:val="3A1C0AAF"/>
    <w:rsid w:val="3A4B1E80"/>
    <w:rsid w:val="3A62434D"/>
    <w:rsid w:val="3B96663F"/>
    <w:rsid w:val="3BEB698B"/>
    <w:rsid w:val="3BF670D0"/>
    <w:rsid w:val="3C621803"/>
    <w:rsid w:val="3D0F48FB"/>
    <w:rsid w:val="3DD5344F"/>
    <w:rsid w:val="3E4A76C3"/>
    <w:rsid w:val="3E9961CA"/>
    <w:rsid w:val="3FE0432D"/>
    <w:rsid w:val="3FE43ED1"/>
    <w:rsid w:val="400224F5"/>
    <w:rsid w:val="406E7B8B"/>
    <w:rsid w:val="40A315E2"/>
    <w:rsid w:val="411E335F"/>
    <w:rsid w:val="41C72E85"/>
    <w:rsid w:val="41E33C60"/>
    <w:rsid w:val="42402E61"/>
    <w:rsid w:val="424E1A22"/>
    <w:rsid w:val="427712EE"/>
    <w:rsid w:val="42C802EB"/>
    <w:rsid w:val="432F53AF"/>
    <w:rsid w:val="445659B0"/>
    <w:rsid w:val="445E67EA"/>
    <w:rsid w:val="447119F7"/>
    <w:rsid w:val="44E56B05"/>
    <w:rsid w:val="450D7972"/>
    <w:rsid w:val="45701CAF"/>
    <w:rsid w:val="458F65D9"/>
    <w:rsid w:val="45BB73CE"/>
    <w:rsid w:val="45E06E35"/>
    <w:rsid w:val="45EF52CA"/>
    <w:rsid w:val="460070B5"/>
    <w:rsid w:val="4613530C"/>
    <w:rsid w:val="470D1EAB"/>
    <w:rsid w:val="47867568"/>
    <w:rsid w:val="48074B4D"/>
    <w:rsid w:val="484E42A5"/>
    <w:rsid w:val="4893018E"/>
    <w:rsid w:val="48B12D0A"/>
    <w:rsid w:val="48BD520B"/>
    <w:rsid w:val="48C52312"/>
    <w:rsid w:val="48CB3DCC"/>
    <w:rsid w:val="4A730277"/>
    <w:rsid w:val="4AAA26CA"/>
    <w:rsid w:val="4B4E65EF"/>
    <w:rsid w:val="4B8B15F1"/>
    <w:rsid w:val="4C2F6420"/>
    <w:rsid w:val="4C6D6F48"/>
    <w:rsid w:val="4CCC3C6F"/>
    <w:rsid w:val="4D057181"/>
    <w:rsid w:val="4D665E71"/>
    <w:rsid w:val="4DBA61BD"/>
    <w:rsid w:val="4DBC7897"/>
    <w:rsid w:val="4EDB463D"/>
    <w:rsid w:val="4F0973FC"/>
    <w:rsid w:val="4F443F90"/>
    <w:rsid w:val="4F4C553B"/>
    <w:rsid w:val="4FE251C1"/>
    <w:rsid w:val="4FE92D8A"/>
    <w:rsid w:val="4FEE6D8D"/>
    <w:rsid w:val="50966A6E"/>
    <w:rsid w:val="51782617"/>
    <w:rsid w:val="517C2790"/>
    <w:rsid w:val="51AF6AF4"/>
    <w:rsid w:val="51DF4444"/>
    <w:rsid w:val="51EE28D9"/>
    <w:rsid w:val="52304CA0"/>
    <w:rsid w:val="524B1ADA"/>
    <w:rsid w:val="52B256B5"/>
    <w:rsid w:val="532760A3"/>
    <w:rsid w:val="53607807"/>
    <w:rsid w:val="537506AF"/>
    <w:rsid w:val="53B316E5"/>
    <w:rsid w:val="53B945AF"/>
    <w:rsid w:val="5462506D"/>
    <w:rsid w:val="54A86851"/>
    <w:rsid w:val="55F90AEC"/>
    <w:rsid w:val="5637484F"/>
    <w:rsid w:val="565C1FC8"/>
    <w:rsid w:val="56B07357"/>
    <w:rsid w:val="575E405D"/>
    <w:rsid w:val="57E26A3C"/>
    <w:rsid w:val="583828D7"/>
    <w:rsid w:val="58E10AA2"/>
    <w:rsid w:val="58ED1584"/>
    <w:rsid w:val="595E6596"/>
    <w:rsid w:val="59DE3233"/>
    <w:rsid w:val="59E7497A"/>
    <w:rsid w:val="59F64A21"/>
    <w:rsid w:val="59F91E1B"/>
    <w:rsid w:val="5B12588A"/>
    <w:rsid w:val="5B157129"/>
    <w:rsid w:val="5BCA7F13"/>
    <w:rsid w:val="5BDC72F2"/>
    <w:rsid w:val="5C166CD7"/>
    <w:rsid w:val="5C16723C"/>
    <w:rsid w:val="5C1E200D"/>
    <w:rsid w:val="5C31665B"/>
    <w:rsid w:val="5CB87D6C"/>
    <w:rsid w:val="5CDD2694"/>
    <w:rsid w:val="5D243853"/>
    <w:rsid w:val="5D731C38"/>
    <w:rsid w:val="5D7C6FEB"/>
    <w:rsid w:val="5E523933"/>
    <w:rsid w:val="5E8A5738"/>
    <w:rsid w:val="5EB10F16"/>
    <w:rsid w:val="5EB80FA6"/>
    <w:rsid w:val="5EEC01A1"/>
    <w:rsid w:val="5FE771D2"/>
    <w:rsid w:val="60F31CBA"/>
    <w:rsid w:val="61A86601"/>
    <w:rsid w:val="61E67129"/>
    <w:rsid w:val="6200468F"/>
    <w:rsid w:val="620D2908"/>
    <w:rsid w:val="62B15161"/>
    <w:rsid w:val="62EA49F7"/>
    <w:rsid w:val="631322F9"/>
    <w:rsid w:val="63497970"/>
    <w:rsid w:val="6375543B"/>
    <w:rsid w:val="63B079EF"/>
    <w:rsid w:val="64350C1A"/>
    <w:rsid w:val="644C5FD4"/>
    <w:rsid w:val="64F14763"/>
    <w:rsid w:val="64FE298E"/>
    <w:rsid w:val="65956E9C"/>
    <w:rsid w:val="659B022A"/>
    <w:rsid w:val="65C14135"/>
    <w:rsid w:val="65D06126"/>
    <w:rsid w:val="65FC33BF"/>
    <w:rsid w:val="660934D3"/>
    <w:rsid w:val="665B07CE"/>
    <w:rsid w:val="66670157"/>
    <w:rsid w:val="676905E0"/>
    <w:rsid w:val="679F04A6"/>
    <w:rsid w:val="681D586D"/>
    <w:rsid w:val="68232E85"/>
    <w:rsid w:val="687F5BE1"/>
    <w:rsid w:val="68BB0995"/>
    <w:rsid w:val="68F62348"/>
    <w:rsid w:val="6A545506"/>
    <w:rsid w:val="6A5C267E"/>
    <w:rsid w:val="6A8F6D2E"/>
    <w:rsid w:val="6AA7701A"/>
    <w:rsid w:val="6AB2229E"/>
    <w:rsid w:val="6AB46016"/>
    <w:rsid w:val="6B030D4C"/>
    <w:rsid w:val="6B0A3E88"/>
    <w:rsid w:val="6B607F4C"/>
    <w:rsid w:val="6C603468"/>
    <w:rsid w:val="6C691082"/>
    <w:rsid w:val="6D026AE4"/>
    <w:rsid w:val="6D05528D"/>
    <w:rsid w:val="6DBD3434"/>
    <w:rsid w:val="6DFB0400"/>
    <w:rsid w:val="6E3336F6"/>
    <w:rsid w:val="6E4E0530"/>
    <w:rsid w:val="6E981928"/>
    <w:rsid w:val="6ECE341F"/>
    <w:rsid w:val="70974410"/>
    <w:rsid w:val="70A3223E"/>
    <w:rsid w:val="718A3F42"/>
    <w:rsid w:val="71B17D35"/>
    <w:rsid w:val="71BE777B"/>
    <w:rsid w:val="722021E3"/>
    <w:rsid w:val="727767CA"/>
    <w:rsid w:val="73102258"/>
    <w:rsid w:val="731C0BFD"/>
    <w:rsid w:val="73FC37F5"/>
    <w:rsid w:val="74E76064"/>
    <w:rsid w:val="74FA3DBB"/>
    <w:rsid w:val="75792336"/>
    <w:rsid w:val="75E67E95"/>
    <w:rsid w:val="76086F57"/>
    <w:rsid w:val="761D53E7"/>
    <w:rsid w:val="76880357"/>
    <w:rsid w:val="76911902"/>
    <w:rsid w:val="76DB7386"/>
    <w:rsid w:val="76EF6628"/>
    <w:rsid w:val="7725204A"/>
    <w:rsid w:val="779F3497"/>
    <w:rsid w:val="77E018A7"/>
    <w:rsid w:val="77F3544A"/>
    <w:rsid w:val="78E201F2"/>
    <w:rsid w:val="78E24696"/>
    <w:rsid w:val="78F30652"/>
    <w:rsid w:val="793F5645"/>
    <w:rsid w:val="79981E02"/>
    <w:rsid w:val="7A3525A4"/>
    <w:rsid w:val="7A590F81"/>
    <w:rsid w:val="7AC874C3"/>
    <w:rsid w:val="7CA37C99"/>
    <w:rsid w:val="7CE35FCE"/>
    <w:rsid w:val="7CEC7892"/>
    <w:rsid w:val="7D0C1CE2"/>
    <w:rsid w:val="7D7A4E9D"/>
    <w:rsid w:val="7D955EF8"/>
    <w:rsid w:val="7E543154"/>
    <w:rsid w:val="7E665422"/>
    <w:rsid w:val="7EB77A2B"/>
    <w:rsid w:val="7F1E3965"/>
    <w:rsid w:val="7F3B68AE"/>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qFormat/>
    <w:uiPriority w:val="0"/>
    <w:pPr>
      <w:jc w:val="left"/>
    </w:pPr>
    <w:rPr>
      <w:rFonts w:ascii="Calibri"/>
      <w:kern w:val="2"/>
      <w:sz w:val="18"/>
    </w:rPr>
  </w:style>
  <w:style w:type="paragraph" w:styleId="6">
    <w:name w:val="Body Text Indent"/>
    <w:basedOn w:val="1"/>
    <w:qFormat/>
    <w:uiPriority w:val="0"/>
    <w:pPr>
      <w:spacing w:after="120"/>
      <w:ind w:left="420" w:leftChars="200"/>
    </w:pPr>
    <w:rPr>
      <w:rFonts w:ascii="Calibri" w:hAnsi="Calibri" w:eastAsia="宋体" w:cs="Times New Roman"/>
      <w:lang w:val="zh-C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rPr>
      <w:kern w:val="2"/>
      <w:sz w:val="2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6390</Words>
  <Characters>6569</Characters>
  <Lines>0</Lines>
  <Paragraphs>0</Paragraphs>
  <TotalTime>11</TotalTime>
  <ScaleCrop>false</ScaleCrop>
  <LinksUpToDate>false</LinksUpToDate>
  <CharactersWithSpaces>6726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2023-04-25T06:45:00Z</dcterms:created>
  <dc:creator>User</dc:creator>
  <cp:lastModifiedBy>微信用户</cp:lastModifiedBy>
  <dcterms:modified xsi:type="dcterms:W3CDTF">2023-05-05T03:41:15Z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A73AB6DEE27A447FB79225854B6FA9F4_13</vt:lpwstr>
  </property>
</Properties>
</file>