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14:textFill>
            <w14:solidFill>
              <w14:schemeClr w14:val="tx1"/>
            </w14:solidFill>
          </w14:textFill>
        </w:rPr>
        <w:t>门诊宣教音响系统采购项目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因四川省精神医学中开展临床业务需求</w:t>
      </w:r>
      <w:r>
        <w:rPr>
          <w:rFonts w:hint="eastAsia" w:ascii="仿宋" w:hAnsi="仿宋" w:eastAsia="仿宋" w:cstheme="minorEastAsia"/>
          <w:color w:val="000000" w:themeColor="text1"/>
          <w:sz w:val="28"/>
          <w:szCs w:val="28"/>
          <w:lang w:eastAsia="zh-CN"/>
          <w14:textFill>
            <w14:solidFill>
              <w14:schemeClr w14:val="tx1"/>
            </w14:solidFill>
          </w14:textFill>
        </w:rPr>
        <w:t>，营造安全、快捷，舒适的就医环境。</w:t>
      </w:r>
      <w:r>
        <w:rPr>
          <w:rFonts w:hint="eastAsia" w:ascii="仿宋" w:hAnsi="仿宋" w:eastAsia="仿宋" w:cstheme="minorEastAsia"/>
          <w:color w:val="000000" w:themeColor="text1"/>
          <w:sz w:val="28"/>
          <w:szCs w:val="28"/>
          <w14:textFill>
            <w14:solidFill>
              <w14:schemeClr w14:val="tx1"/>
            </w14:solidFill>
          </w14:textFill>
        </w:rPr>
        <w:t>需要采购四川省精神医学中学拟采购一套门诊广播系统设备。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28</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1</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28</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1</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0</w:t>
      </w:r>
      <w:r>
        <w:rPr>
          <w:rFonts w:hint="eastAsia" w:ascii="仿宋" w:hAnsi="仿宋" w:eastAsia="仿宋" w:cstheme="minorEastAsia"/>
          <w:color w:val="000000" w:themeColor="text1"/>
          <w:sz w:val="28"/>
          <w:szCs w:val="28"/>
          <w:u w:val="single"/>
          <w14:textFill>
            <w14:solidFill>
              <w14:schemeClr w14:val="tx1"/>
            </w14:solidFill>
          </w14:textFill>
        </w:rPr>
        <w:t>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起到约束作用。</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keepNext w:val="0"/>
        <w:keepLines w:val="0"/>
        <w:pageBreakBefore w:val="0"/>
        <w:kinsoku/>
        <w:wordWrap/>
        <w:overflowPunct/>
        <w:topLinePunct w:val="0"/>
        <w:autoSpaceDE/>
        <w:autoSpaceDN/>
        <w:bidi w:val="0"/>
        <w:adjustRightInd/>
        <w:snapToGrid/>
        <w:spacing w:beforeAutospacing="0" w:afterAutospacing="0"/>
        <w:ind w:left="560" w:hanging="560" w:hangingChars="200"/>
        <w:jc w:val="left"/>
        <w:textAlignment w:val="auto"/>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pStyle w:val="9"/>
        <w:keepNext w:val="0"/>
        <w:keepLines w:val="0"/>
        <w:pageBreakBefore w:val="0"/>
        <w:kinsoku/>
        <w:wordWrap/>
        <w:overflowPunct/>
        <w:topLinePunct w:val="0"/>
        <w:autoSpaceDE/>
        <w:autoSpaceDN/>
        <w:bidi w:val="0"/>
        <w:adjustRightInd/>
        <w:snapToGrid/>
        <w:spacing w:before="0" w:beforeAutospacing="0" w:after="0" w:afterAutospacing="0"/>
        <w:textAlignment w:val="auto"/>
      </w:pPr>
      <w:r>
        <w:rPr>
          <w:rFonts w:hint="eastAsia" w:ascii="仿宋" w:hAnsi="仿宋" w:eastAsia="仿宋"/>
          <w:color w:val="000000"/>
          <w:sz w:val="28"/>
          <w:szCs w:val="27"/>
        </w:rPr>
        <w:t>吸顶扬声器130只、壁挂扬声器30只、大功率广播适配器2台、广播适配器9台，广播服务器1台，广播软件1套，客户端软件1套，加密狗1个，寻呼终端7台，监听音响1只，有源吸顶音响20只。</w:t>
      </w:r>
    </w:p>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keepNext w:val="0"/>
        <w:keepLines w:val="0"/>
        <w:pageBreakBefore w:val="0"/>
        <w:kinsoku/>
        <w:wordWrap/>
        <w:overflowPunct/>
        <w:topLinePunct w:val="0"/>
        <w:autoSpaceDE/>
        <w:autoSpaceDN/>
        <w:bidi w:val="0"/>
        <w:adjustRightInd/>
        <w:snapToGrid/>
        <w:jc w:val="left"/>
        <w:textAlignment w:val="auto"/>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的投标文件不退回，且不对</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自行承担；</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w:t>
      </w:r>
      <w:r>
        <w:rPr>
          <w:rFonts w:hint="eastAsia" w:ascii="仿宋" w:hAnsi="仿宋" w:eastAsia="仿宋" w:cstheme="minorEastAsia"/>
          <w:color w:val="000000" w:themeColor="text1"/>
          <w:sz w:val="28"/>
          <w:szCs w:val="28"/>
          <w:lang w:eastAsia="zh-CN"/>
          <w14:textFill>
            <w14:solidFill>
              <w14:schemeClr w14:val="tx1"/>
            </w14:solidFill>
          </w14:textFill>
        </w:rPr>
        <w:t>供应商</w:t>
      </w:r>
      <w:r>
        <w:rPr>
          <w:rFonts w:hint="eastAsia" w:ascii="仿宋" w:hAnsi="仿宋" w:eastAsia="仿宋" w:cstheme="minorEastAsia"/>
          <w:color w:val="000000" w:themeColor="text1"/>
          <w:sz w:val="28"/>
          <w:szCs w:val="28"/>
          <w14:textFill>
            <w14:solidFill>
              <w14:schemeClr w14:val="tx1"/>
            </w14:solidFill>
          </w14:textFill>
        </w:rPr>
        <w:t>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合格供应商不足三家，予以谈判或磋商。</w:t>
      </w:r>
    </w:p>
    <w:p>
      <w:pPr>
        <w:pStyle w:val="10"/>
        <w:ind w:firstLine="210"/>
        <w:rPr>
          <w:rFonts w:ascii="仿宋" w:hAnsi="仿宋" w:eastAsia="仿宋"/>
          <w:color w:val="000000" w:themeColor="text1"/>
          <w14:textFill>
            <w14:solidFill>
              <w14:schemeClr w14:val="tx1"/>
            </w14:solidFill>
          </w14:textFill>
        </w:rPr>
      </w:pP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10"/>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w:t>
      </w:r>
      <w:r>
        <w:rPr>
          <w:rFonts w:hint="eastAsia" w:ascii="仿宋" w:hAnsi="仿宋" w:eastAsia="仿宋"/>
          <w:color w:val="000000"/>
          <w:sz w:val="27"/>
          <w:szCs w:val="27"/>
          <w:lang w:eastAsia="zh-CN"/>
        </w:rPr>
        <w:t>供应商</w:t>
      </w:r>
      <w:r>
        <w:rPr>
          <w:rFonts w:hint="eastAsia" w:ascii="仿宋" w:hAnsi="仿宋" w:eastAsia="仿宋"/>
          <w:color w:val="000000"/>
          <w:sz w:val="27"/>
          <w:szCs w:val="27"/>
        </w:rPr>
        <w:t>应全部满足；标注“▲”号的条款为重要技术条款，非实质性要求。</w:t>
      </w:r>
    </w:p>
    <w:p>
      <w:pPr>
        <w:pStyle w:val="9"/>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若为企业法人：提供“统一社会信用代码营业执照”；②若为事业法人：提供“统一社会信用代码法人登记证书”；③若为其他组织：提供“对应主管部门颁发的准许执业证明文件或营业执照”；④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若为自然人：提供“身份证明材料”。以上均提供复印件。</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体现健全的财务制度的证明材料：①可提供2020-2022年度（任意一年）经审计的财务报告复印件（包含审计报告和审计报告中所涉及的财务报表和报表附注）；②也可提供2020-2022年度（任意一年）</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内部的财务报表复印件（至少包含资产负债表）；③也可提供距文件递交截止日一年内银行出具的资信证明（复印件）；④</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单位及其现任法定代表人、主要负责人在参加政府采购活动前三年内无行贿犯罪记录的承诺函（注：如经核实属虚假承诺的，将做无效投标处理）。</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须提供依法缴纳税收和社会保障资金的承诺函原件或者近三个月依法缴纳税收和社会保障资金的证明材料复印件。</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的医疗器械经营许可证复印件（一类医疗器械可不提供，二类仅提供医疗器械经营备案表；根据国办发〔2017〕41号政策要求“多证合一”的营业执照除外）。</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9"/>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w:t>
      </w:r>
      <w:r>
        <w:rPr>
          <w:rFonts w:hint="eastAsia" w:ascii="仿宋" w:hAnsi="仿宋" w:eastAsia="仿宋"/>
          <w:color w:val="000000"/>
          <w:sz w:val="28"/>
          <w:szCs w:val="27"/>
          <w:lang w:eastAsia="zh-CN"/>
        </w:rPr>
        <w:t>供应商</w:t>
      </w:r>
      <w:r>
        <w:rPr>
          <w:rFonts w:hint="eastAsia" w:ascii="仿宋" w:hAnsi="仿宋" w:eastAsia="仿宋"/>
          <w:color w:val="000000"/>
          <w:sz w:val="28"/>
          <w:szCs w:val="27"/>
        </w:rPr>
        <w:t>代表为非法定代表人时提供）。</w:t>
      </w:r>
    </w:p>
    <w:p>
      <w:pPr>
        <w:pStyle w:val="9"/>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9"/>
        <w:rPr>
          <w:rFonts w:hint="eastAsia" w:ascii="仿宋" w:hAnsi="仿宋" w:eastAsia="仿宋"/>
          <w:color w:val="000000"/>
          <w:sz w:val="28"/>
          <w:szCs w:val="27"/>
        </w:rPr>
      </w:pPr>
      <w:r>
        <w:rPr>
          <w:rFonts w:hint="eastAsia" w:ascii="仿宋" w:hAnsi="仿宋" w:eastAsia="仿宋"/>
          <w:color w:val="000000"/>
          <w:sz w:val="28"/>
          <w:szCs w:val="27"/>
        </w:rPr>
        <w:t>要求设备包含但不限于以下技术参数：</w:t>
      </w:r>
    </w:p>
    <w:p>
      <w:pPr>
        <w:pStyle w:val="9"/>
        <w:rPr>
          <w:rFonts w:hint="eastAsia" w:ascii="仿宋" w:hAnsi="仿宋" w:eastAsia="仿宋"/>
          <w:color w:val="000000"/>
          <w:sz w:val="28"/>
          <w:szCs w:val="27"/>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1272"/>
        <w:gridCol w:w="5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ind w:firstLine="480"/>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1272" w:type="dxa"/>
            <w:vAlign w:val="center"/>
          </w:tcPr>
          <w:p>
            <w:pPr>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5491" w:type="dxa"/>
          </w:tcPr>
          <w:p>
            <w:pPr>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widowControl/>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1.吸顶扬声器</w:t>
            </w:r>
          </w:p>
        </w:tc>
        <w:tc>
          <w:tcPr>
            <w:tcW w:w="1272" w:type="dxa"/>
            <w:vAlign w:val="center"/>
          </w:tcPr>
          <w:p>
            <w:pPr>
              <w:widowControl/>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130</w:t>
            </w:r>
          </w:p>
        </w:tc>
        <w:tc>
          <w:tcPr>
            <w:tcW w:w="5491" w:type="dxa"/>
            <w:vAlign w:val="center"/>
          </w:tcPr>
          <w:p>
            <w:pPr>
              <w:widowControl/>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 xml:space="preserve">1.功率：≥10W                                                                                                                                                                                                                                                                                                                                                                                                                                                     2.喇叭单元：6.5〞全频                                                                                                                                                                                                             3.输入电压：70-100V                                                                                                                                                                                                                    4.灵敏度：≥88dB                                                                                                                                                                                                               5.频率响应：85-15KHz                                                                                                                                                                                                                                                                                                                                                                          6.安装开孔尺寸：175mm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widowControl/>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2.壁挂扬声器</w:t>
            </w:r>
          </w:p>
        </w:tc>
        <w:tc>
          <w:tcPr>
            <w:tcW w:w="1272" w:type="dxa"/>
            <w:vAlign w:val="center"/>
          </w:tcPr>
          <w:p>
            <w:pPr>
              <w:widowControl/>
              <w:ind w:firstLine="0" w:firstLineChars="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30</w:t>
            </w:r>
          </w:p>
        </w:tc>
        <w:tc>
          <w:tcPr>
            <w:tcW w:w="5491"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1.额定功率：≥6W</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2.喇叭单元：6.5"×1低音单元；2"×1高音单元；</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3.输入电压：70-100V.</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4.灵敏度：≥93dB.</w:t>
            </w:r>
          </w:p>
          <w:p>
            <w:pPr>
              <w:widowControl/>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5.频率响应:90-20KHz.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3.广播适配器</w:t>
            </w:r>
          </w:p>
        </w:tc>
        <w:tc>
          <w:tcPr>
            <w:tcW w:w="1272" w:type="dxa"/>
            <w:vAlign w:val="center"/>
          </w:tcPr>
          <w:p>
            <w:pPr>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5491" w:type="dxa"/>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1.≥3路MIC输入，≥2路AUX输入，≥1路AUX输出，≥MIC1具有强插默音功能。</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▲2.自带USB接口，支持U盘MP3文件播放,内置蓝牙模块支持蓝牙MP3文件播放，各功能模式可自由切换。。</w:t>
            </w:r>
            <w:r>
              <w:rPr>
                <w:rFonts w:hint="eastAsia" w:ascii="仿宋" w:hAnsi="仿宋" w:eastAsia="仿宋" w:cs="仿宋"/>
                <w:b/>
                <w:bCs/>
                <w:color w:val="000000"/>
                <w:kern w:val="0"/>
                <w:sz w:val="24"/>
                <w:szCs w:val="24"/>
                <w:lang w:bidi="ar"/>
              </w:rPr>
              <w:t>（提供功能检测报告与实物截图作证并加盖公章）</w:t>
            </w:r>
          </w:p>
          <w:p>
            <w:pPr>
              <w:widowControl/>
              <w:ind w:firstLine="0" w:firstLineChars="0"/>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▲3.具有抹音功能 ，便于插入紧急广播 ，输出短路保护及报警 ，过热及饱和失真警告。</w:t>
            </w:r>
            <w:r>
              <w:rPr>
                <w:rFonts w:hint="eastAsia" w:ascii="仿宋" w:hAnsi="仿宋" w:eastAsia="仿宋" w:cs="仿宋"/>
                <w:b/>
                <w:bCs/>
                <w:color w:val="000000"/>
                <w:kern w:val="0"/>
                <w:sz w:val="24"/>
                <w:szCs w:val="24"/>
                <w:lang w:bidi="ar"/>
              </w:rPr>
              <w:t>（提供功能检测报告并加盖公章）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4.支持跨网段和跨路由，支持固定IP地址和自动获取IP地址，支持网络环境自适应。</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▲5.支持终端程序远程在线升级，方便工程维护。</w:t>
            </w:r>
            <w:r>
              <w:rPr>
                <w:rFonts w:hint="eastAsia" w:ascii="仿宋" w:hAnsi="仿宋" w:eastAsia="仿宋" w:cs="仿宋"/>
                <w:b/>
                <w:bCs/>
                <w:color w:val="000000"/>
                <w:kern w:val="0"/>
                <w:sz w:val="24"/>
                <w:szCs w:val="24"/>
                <w:lang w:bidi="ar"/>
              </w:rPr>
              <w:t>（提供功能检测报告并加盖公章）</w:t>
            </w:r>
          </w:p>
          <w:p>
            <w:pPr>
              <w:widowControl/>
              <w:numPr>
                <w:ilvl w:val="0"/>
                <w:numId w:val="3"/>
              </w:numPr>
              <w:ind w:firstLine="0" w:firstLineChars="0"/>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支持高低音输出控制。</w:t>
            </w:r>
          </w:p>
          <w:p>
            <w:pPr>
              <w:pStyle w:val="2"/>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7.100V/70V定压输出和4-16Ω定阻输出，额定输出功率：≥650W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4.广播适配器</w:t>
            </w:r>
          </w:p>
        </w:tc>
        <w:tc>
          <w:tcPr>
            <w:tcW w:w="1272" w:type="dxa"/>
            <w:vAlign w:val="center"/>
          </w:tcPr>
          <w:p>
            <w:pPr>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5491" w:type="dxa"/>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1.标准机架式结构设计，2U铝合金面板，数字编解码终端与合并式功放一体.</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2.100V/70V定压输出和4-16Ω定阻输出，额定输出功率：≥360W</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3.使用高端4核ARM芯片，内存≥256M,缓存≥2GB</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4.TCP/IP高品质数字音频传输，无噪音，支持多功能分区、全区广播功能。</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▲5.≥2GB内部缓存空间，定时点播放自动下载至此空间,手动播放过的节目也会保存下来,网络故障也可正常播放定时点节目,保存在本地后,再次播放不再占用流量。</w:t>
            </w:r>
            <w:r>
              <w:rPr>
                <w:rFonts w:hint="eastAsia" w:ascii="仿宋" w:hAnsi="仿宋" w:eastAsia="仿宋" w:cs="仿宋"/>
                <w:b/>
                <w:bCs/>
                <w:color w:val="000000"/>
                <w:kern w:val="0"/>
                <w:sz w:val="24"/>
                <w:szCs w:val="24"/>
                <w:lang w:bidi="ar"/>
              </w:rPr>
              <w:t>（提供功能检测报告并加盖公章）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▲6.支持混音功能，寻呼可与背景音乐混音输出。</w:t>
            </w:r>
            <w:r>
              <w:rPr>
                <w:rFonts w:hint="eastAsia" w:ascii="仿宋" w:hAnsi="仿宋" w:eastAsia="仿宋" w:cs="仿宋"/>
                <w:b/>
                <w:bCs/>
                <w:color w:val="000000"/>
                <w:kern w:val="0"/>
                <w:sz w:val="24"/>
                <w:szCs w:val="24"/>
                <w:lang w:bidi="ar"/>
              </w:rPr>
              <w:t>（提供功能检测报告并加盖公章）</w:t>
            </w:r>
            <w:r>
              <w:rPr>
                <w:rFonts w:hint="eastAsia" w:ascii="仿宋" w:hAnsi="仿宋" w:eastAsia="仿宋" w:cs="仿宋"/>
                <w:color w:val="000000"/>
                <w:kern w:val="0"/>
                <w:sz w:val="24"/>
                <w:szCs w:val="24"/>
                <w:lang w:bidi="ar"/>
              </w:rPr>
              <w:t xml:space="preserve">                                  </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7.具有服务器统一授权管理功能 ，支持统一配置管理用户及密码。</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8.支持智能电源管理，无音乐或呼叫时，设备自动切断主电源，进入待机状态，待机功率小于3W。</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9.自带LED状态显示，电源显示。</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10.温度分段式风机冷却，具有音频输出压限保护功能，确保声音无失真输出。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5.广播服务器</w:t>
            </w:r>
          </w:p>
        </w:tc>
        <w:tc>
          <w:tcPr>
            <w:tcW w:w="1272" w:type="dxa"/>
            <w:vAlign w:val="center"/>
          </w:tcPr>
          <w:p>
            <w:pPr>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491" w:type="dxa"/>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1.标准机架式。</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▲2.内嵌播控软件，具备丰富的节目源，支持多套节目同时播放，并对每套节目可进行独立控制；</w:t>
            </w:r>
            <w:r>
              <w:rPr>
                <w:rFonts w:hint="eastAsia" w:ascii="仿宋" w:hAnsi="仿宋" w:eastAsia="仿宋" w:cs="仿宋"/>
                <w:b/>
                <w:bCs/>
                <w:color w:val="000000"/>
                <w:kern w:val="0"/>
                <w:sz w:val="24"/>
                <w:szCs w:val="24"/>
                <w:lang w:bidi="ar"/>
              </w:rPr>
              <w:t>（</w:t>
            </w:r>
            <w:r>
              <w:rPr>
                <w:rFonts w:hint="eastAsia" w:ascii="仿宋" w:hAnsi="仿宋" w:eastAsia="仿宋" w:cs="仿宋"/>
                <w:b/>
                <w:bCs/>
                <w:kern w:val="0"/>
                <w:sz w:val="24"/>
                <w:szCs w:val="24"/>
                <w:lang w:bidi="ar"/>
              </w:rPr>
              <w:t>嵌入式播控软件具有国家版权局颁发的《计算机软件著作权登记证书》（需提供证书复印件）并加盖公章）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3.强大的控制功能，可及时对终端设备进行单点、区域控制；</w:t>
            </w:r>
          </w:p>
          <w:p>
            <w:pPr>
              <w:widowControl/>
              <w:ind w:firstLine="0" w:firstLineChars="0"/>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4.可对网络终端进行独立分区、IP、音量控制，终端设备状态一目了然；</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5.系统自动开关机；</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6.系统信息采用数据库存储模式，保证数据安全性；</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7.工业级处理器，更快的数据处理能；</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▲8.可实现任意分区广播、全体广播、定时定点广播；</w:t>
            </w:r>
            <w:r>
              <w:rPr>
                <w:rFonts w:hint="eastAsia" w:ascii="仿宋" w:hAnsi="仿宋" w:eastAsia="仿宋" w:cs="仿宋"/>
                <w:b/>
                <w:bCs/>
                <w:color w:val="000000"/>
                <w:kern w:val="0"/>
                <w:sz w:val="24"/>
                <w:szCs w:val="24"/>
                <w:lang w:bidi="ar"/>
              </w:rPr>
              <w:t>（提供功能检测报告并加盖公章）</w:t>
            </w:r>
          </w:p>
          <w:p>
            <w:pPr>
              <w:widowControl/>
              <w:ind w:firstLine="0" w:firstLineChars="0"/>
              <w:jc w:val="left"/>
              <w:textAlignment w:val="center"/>
              <w:rPr>
                <w:rFonts w:hint="eastAsia" w:ascii="仿宋" w:hAnsi="仿宋" w:eastAsia="仿宋" w:cs="仿宋"/>
                <w:bCs/>
                <w:color w:val="000000"/>
                <w:kern w:val="0"/>
                <w:sz w:val="24"/>
                <w:szCs w:val="24"/>
                <w:lang w:bidi="ar"/>
              </w:rPr>
            </w:pPr>
            <w:r>
              <w:rPr>
                <w:rFonts w:hint="eastAsia" w:ascii="仿宋" w:hAnsi="仿宋" w:eastAsia="仿宋" w:cs="仿宋"/>
                <w:color w:val="000000"/>
                <w:kern w:val="0"/>
                <w:sz w:val="24"/>
                <w:szCs w:val="24"/>
                <w:lang w:bidi="ar"/>
              </w:rPr>
              <w:t>▲9.自带功放、扬声器，具备专业拾音器接口，在没有外设的条件下可方便实现本地扩声和声音采集。</w:t>
            </w:r>
            <w:r>
              <w:rPr>
                <w:rFonts w:hint="eastAsia" w:ascii="仿宋" w:hAnsi="仿宋" w:eastAsia="仿宋" w:cs="仿宋"/>
                <w:b/>
                <w:bCs/>
                <w:color w:val="000000"/>
                <w:kern w:val="0"/>
                <w:sz w:val="24"/>
                <w:szCs w:val="24"/>
                <w:lang w:bidi="ar"/>
              </w:rPr>
              <w:t>（提供功能检测报告并加盖公章）</w:t>
            </w:r>
            <w:r>
              <w:rPr>
                <w:rFonts w:hint="eastAsia" w:ascii="仿宋" w:hAnsi="仿宋" w:eastAsia="仿宋" w:cs="仿宋"/>
                <w:b/>
                <w:bCs/>
                <w:color w:val="000000"/>
                <w:kern w:val="0"/>
                <w:sz w:val="24"/>
                <w:szCs w:val="24"/>
                <w:lang w:bidi="ar"/>
              </w:rPr>
              <w:br w:type="textWrapping"/>
            </w:r>
            <w:r>
              <w:rPr>
                <w:rFonts w:hint="eastAsia" w:ascii="仿宋" w:hAnsi="仿宋" w:eastAsia="仿宋" w:cs="仿宋"/>
                <w:bCs/>
                <w:color w:val="000000"/>
                <w:kern w:val="0"/>
                <w:sz w:val="24"/>
                <w:szCs w:val="24"/>
                <w:lang w:bidi="ar"/>
              </w:rPr>
              <w:t>10.CPU:独立 CPU 不低于i5（7代）</w:t>
            </w:r>
          </w:p>
          <w:p>
            <w:pPr>
              <w:widowControl/>
              <w:ind w:firstLine="0" w:firstLineChars="0"/>
              <w:jc w:val="left"/>
              <w:textAlignment w:val="center"/>
              <w:rPr>
                <w:rFonts w:hint="eastAsia"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11.液晶屏：》15.6寸，带触摸功能。</w:t>
            </w:r>
          </w:p>
          <w:p>
            <w:pPr>
              <w:widowControl/>
              <w:ind w:firstLine="0" w:firstLineChars="0"/>
              <w:jc w:val="left"/>
              <w:textAlignment w:val="center"/>
              <w:rPr>
                <w:rFonts w:hint="eastAsia"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12.分辨率：1920*1080</w:t>
            </w:r>
          </w:p>
          <w:p>
            <w:pPr>
              <w:widowControl/>
              <w:ind w:firstLine="0" w:firstLineChars="0"/>
              <w:jc w:val="left"/>
              <w:textAlignment w:val="center"/>
              <w:rPr>
                <w:rFonts w:hint="eastAsia"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13.内存:DDR4 8G(可扩展至 64GB)</w:t>
            </w:r>
          </w:p>
          <w:p>
            <w:pPr>
              <w:widowControl/>
              <w:ind w:firstLine="0" w:firstLineChars="0"/>
              <w:jc w:val="left"/>
              <w:textAlignment w:val="center"/>
              <w:rPr>
                <w:rFonts w:hint="eastAsia" w:ascii="仿宋" w:hAnsi="仿宋" w:eastAsia="仿宋" w:cs="仿宋"/>
                <w:bCs/>
                <w:color w:val="000000"/>
                <w:kern w:val="0"/>
                <w:sz w:val="24"/>
                <w:szCs w:val="24"/>
                <w:lang w:bidi="ar"/>
              </w:rPr>
            </w:pPr>
            <w:r>
              <w:rPr>
                <w:rFonts w:hint="eastAsia" w:ascii="仿宋" w:hAnsi="仿宋" w:eastAsia="仿宋" w:cs="仿宋"/>
                <w:bCs/>
                <w:color w:val="000000"/>
                <w:kern w:val="0"/>
                <w:sz w:val="24"/>
                <w:szCs w:val="24"/>
                <w:lang w:bidi="ar"/>
              </w:rPr>
              <w:t>14.硬盘:256G 固态 SSD 电子硬盘</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bCs/>
                <w:color w:val="000000"/>
                <w:kern w:val="0"/>
                <w:sz w:val="24"/>
                <w:szCs w:val="24"/>
                <w:lang w:bidi="ar"/>
              </w:rPr>
              <w:t>15.网卡:千兆网卡 1个</w:t>
            </w:r>
            <w:r>
              <w:rPr>
                <w:rFonts w:hint="eastAsia" w:ascii="仿宋" w:hAnsi="仿宋" w:eastAsia="仿宋" w:cs="仿宋"/>
                <w:b/>
                <w:bCs/>
                <w:color w:val="000000"/>
                <w:kern w:val="0"/>
                <w:sz w:val="24"/>
                <w:szCs w:val="24"/>
                <w:lang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6.广播软件</w:t>
            </w:r>
          </w:p>
        </w:tc>
        <w:tc>
          <w:tcPr>
            <w:tcW w:w="1272" w:type="dxa"/>
            <w:vAlign w:val="center"/>
          </w:tcPr>
          <w:p>
            <w:pPr>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491" w:type="dxa"/>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▲1.新一代互联网分布式数字广播系统软件，支持跨网关远程传输和集中控制，支持多级别用户登录，多任务预设管理，实现全天候无人值守。</w:t>
            </w:r>
            <w:r>
              <w:rPr>
                <w:rFonts w:hint="eastAsia" w:ascii="仿宋" w:hAnsi="仿宋" w:eastAsia="仿宋" w:cs="仿宋"/>
                <w:b/>
                <w:bCs/>
                <w:color w:val="000000"/>
                <w:kern w:val="0"/>
                <w:sz w:val="24"/>
                <w:szCs w:val="24"/>
                <w:lang w:bidi="ar"/>
              </w:rPr>
              <w:t>（提供功能检测报告并加盖公章）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2.支持4种以上的多模式终端状态浏览，对接入终端状态进行实时监测，保证系统运维正常。</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3.支持通过手机、平板电脑等移动终端对广播设备进行远程喊话、节目点播、双向对讲、文件上传、实时监听、扫码播控等功能；</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▲4.支持电子地图导入与查看，可以快速精准查询定位广播终端的地理位置及处于工作、在线、离线等状态，适时作出操控指令。</w:t>
            </w:r>
            <w:r>
              <w:rPr>
                <w:rFonts w:hint="eastAsia" w:ascii="仿宋" w:hAnsi="仿宋" w:eastAsia="仿宋" w:cs="仿宋"/>
                <w:b/>
                <w:bCs/>
                <w:color w:val="000000"/>
                <w:kern w:val="0"/>
                <w:sz w:val="24"/>
                <w:szCs w:val="24"/>
                <w:lang w:bidi="ar"/>
              </w:rPr>
              <w:t>（提供检测报告和软件截图佐证并加盖公章）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5.支持干节点触发联动预警，可提供SDK，方便接入消防系统进行集中管控。</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▲6.系统接入海康、大华等主流厂家网络摄像头视频信号进行视频监控显示，实现音视频联动广播预警、指挥调度、信息发布等功能。</w:t>
            </w:r>
            <w:r>
              <w:rPr>
                <w:rFonts w:hint="eastAsia" w:ascii="仿宋" w:hAnsi="仿宋" w:eastAsia="仿宋" w:cs="仿宋"/>
                <w:b/>
                <w:bCs/>
                <w:color w:val="000000"/>
                <w:kern w:val="0"/>
                <w:sz w:val="24"/>
                <w:szCs w:val="24"/>
                <w:lang w:bidi="ar"/>
              </w:rPr>
              <w:t>（提供检测报告并加盖公章，音视频联动平台</w:t>
            </w:r>
            <w:r>
              <w:rPr>
                <w:rFonts w:hint="eastAsia" w:ascii="仿宋" w:hAnsi="仿宋" w:eastAsia="仿宋" w:cs="仿宋"/>
                <w:b/>
                <w:bCs/>
                <w:kern w:val="0"/>
                <w:sz w:val="24"/>
                <w:szCs w:val="24"/>
                <w:lang w:bidi="ar"/>
              </w:rPr>
              <w:t>具有国家版权局颁发的《计算机软件著作权登记证书》（需提供证书复印件）并加盖公章）</w:t>
            </w:r>
            <w:r>
              <w:rPr>
                <w:rFonts w:hint="eastAsia" w:ascii="仿宋" w:hAnsi="仿宋" w:eastAsia="仿宋" w:cs="仿宋"/>
                <w:b/>
                <w:bCs/>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7.客户端软件</w:t>
            </w:r>
          </w:p>
        </w:tc>
        <w:tc>
          <w:tcPr>
            <w:tcW w:w="1272"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5491" w:type="dxa"/>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基于移动互联网、物联网环境，采用AI音频云计算、大数据处理技术，面向大规模智能广播终端提供实时可靠的音频信息发布、语音对讲寻呼和紧急事件等广播功能的开放式互联网音频服务平台，是真正意义上的第四代公共广播系统。</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2.客户端软件界面默认显示分辨率：1920*1080</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3.可通过自定义创建快捷键按钮，实现一键采播、一键广播、一键寻呼或对讲等功能。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8.加密狗</w:t>
            </w:r>
          </w:p>
        </w:tc>
        <w:tc>
          <w:tcPr>
            <w:tcW w:w="1272"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5491" w:type="dxa"/>
          </w:tcPr>
          <w:p>
            <w:pPr>
              <w:widowControl/>
              <w:ind w:firstLine="0" w:firstLineChars="0"/>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1.网络广播控制软件加密设备，软件使用加密管理，控制系统终端运行数量及使用期限，配套广播系统使用。</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kern w:val="0"/>
                <w:sz w:val="24"/>
                <w:szCs w:val="24"/>
                <w:lang w:bidi="ar"/>
              </w:rPr>
              <w:t>2.插入加密狗后，不再需要序列号注册。解决了更换设备，需要重新注册软件的问题。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9.寻呼终端</w:t>
            </w:r>
          </w:p>
        </w:tc>
        <w:tc>
          <w:tcPr>
            <w:tcW w:w="1272"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5491" w:type="dxa"/>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1.采用7英寸真彩LCD显示屏，支持全屏触控便捷操作，可直接配置终端地址与查看终端状态，如在线、离线、广播任务等状态信息。</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2.配置高性能4核ARM芯片、≥256MB内存、≥4GB高速固态EMMC缓存，稳定高效。</w:t>
            </w:r>
          </w:p>
          <w:p>
            <w:pPr>
              <w:widowControl/>
              <w:ind w:firstLine="0" w:firstLineChars="0"/>
              <w:jc w:val="left"/>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▲3.内置大功率扬声器与拾音咪头，可实现寻呼广播、接收广播、实时监听、预听节目、双向对讲等功能。</w:t>
            </w:r>
            <w:r>
              <w:rPr>
                <w:rFonts w:hint="eastAsia" w:ascii="仿宋" w:hAnsi="仿宋" w:eastAsia="仿宋" w:cs="仿宋"/>
                <w:b/>
                <w:bCs/>
                <w:color w:val="000000"/>
                <w:kern w:val="0"/>
                <w:sz w:val="24"/>
                <w:szCs w:val="24"/>
                <w:lang w:bidi="ar"/>
              </w:rPr>
              <w:t>（提供上述系统功能检测报告并加盖公章）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4.支持免提和非免提双模式通话,自带3.5mm的标准音频接口，可连接专用话筒，进行非免提私密通话。</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5.支持文字语音合成广播，可通过直接输入文字进行短信文本广播，也可导入word、wps等格式文档进行TTS广播。</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6.支持7×24小时定时分区或全区背景音乐广播,支持文件广播、U盘广播、预录音广播、文本广播、实时采播。</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7.支持在线终端分区管理，多个终端可绑定形成一个组号与名称进行控制与管理，可直观显示分区列表名称目录，选择分区可显示出本分区所有终端，显示终端信息。</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8.支持工作日志与工作记录生成与管理。</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9.具有一路本地线路输入（可扩展外置节目源）灵敏度可调，一路本地线路输出（可接有源音箱，扩展监听功率）。</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10.支持1000/100/10mbpcs自适应TCP/IP网络传输协议。</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▲11.至少一路短路输入接口及一路短路输出接口，支持喧哗报警联动、消防广播联动、门禁控制等功能。</w:t>
            </w:r>
            <w:r>
              <w:rPr>
                <w:rFonts w:hint="eastAsia" w:ascii="仿宋" w:hAnsi="仿宋" w:eastAsia="仿宋" w:cs="仿宋"/>
                <w:b/>
                <w:bCs/>
                <w:color w:val="000000"/>
                <w:kern w:val="0"/>
                <w:sz w:val="24"/>
                <w:szCs w:val="24"/>
                <w:lang w:bidi="ar"/>
              </w:rPr>
              <w:t>（提供检测报告和软件截图并加盖公章）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▲12.不少于1个USB2.0接口,可满足U盘点播应用需求,可点播U盘上的文件到其他终端播放。</w:t>
            </w:r>
            <w:r>
              <w:rPr>
                <w:rFonts w:hint="eastAsia" w:ascii="仿宋" w:hAnsi="仿宋" w:eastAsia="仿宋" w:cs="仿宋"/>
                <w:b/>
                <w:bCs/>
                <w:color w:val="000000"/>
                <w:kern w:val="0"/>
                <w:sz w:val="24"/>
                <w:szCs w:val="24"/>
                <w:lang w:bidi="ar"/>
              </w:rPr>
              <w:t>（提供实物截图并加盖公章）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13.具备一个紧急寻呼按钮，紧急情况下可一键发起全区寻呼喊话与告警。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10.监听音响</w:t>
            </w:r>
          </w:p>
        </w:tc>
        <w:tc>
          <w:tcPr>
            <w:tcW w:w="1272"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5491" w:type="dxa"/>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1.高档木质箱体，手工布网罩，安全挂钩设计。</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2、高端arm多核芯片，嵌入式linux系统，稳定性好、安全性高。</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3.内置立体声功率放大器：≥2x15W。</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4.能通过IP网络广播软件或者手机客户端对音量进行调节。</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5.支持网络实时播放，定时播放，以及被寻呼，可接收系统终端广播。</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6.具有硬复位按键，实现配置一键还原。</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7.具有LED状态指示灯，便于故障查找。</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8.支持终端程序远程在线升级，方便工程维护和管理。</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▲9.弱网络环境下，高容错性，丢包率＜5%可正常运行，丢包率＜25%可分辨人声。</w:t>
            </w:r>
            <w:r>
              <w:rPr>
                <w:rFonts w:hint="eastAsia" w:ascii="仿宋" w:hAnsi="仿宋" w:eastAsia="仿宋" w:cs="仿宋"/>
                <w:b/>
                <w:bCs/>
                <w:color w:val="000000"/>
                <w:kern w:val="0"/>
                <w:sz w:val="24"/>
                <w:szCs w:val="24"/>
                <w:lang w:bidi="ar"/>
              </w:rPr>
              <w:t>（提供网络自适应功能检验检测报告并加盖公章）</w:t>
            </w:r>
            <w:r>
              <w:rPr>
                <w:rFonts w:hint="eastAsia" w:ascii="仿宋" w:hAnsi="仿宋" w:eastAsia="仿宋" w:cs="仿宋"/>
                <w:color w:val="000000"/>
                <w:kern w:val="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11.有源吸顶音箱</w:t>
            </w:r>
          </w:p>
        </w:tc>
        <w:tc>
          <w:tcPr>
            <w:tcW w:w="1272" w:type="dxa"/>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w:t>
            </w:r>
          </w:p>
        </w:tc>
        <w:tc>
          <w:tcPr>
            <w:tcW w:w="5491" w:type="dxa"/>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1.网络解码终端与有源吸顶音箱一体化，连接更简单，使用更方便，高效稳定。</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2.支持被寻呼，可接收IP广播系统中其他终端发起的广播；</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3.支持终端程序远程网络在线升级；</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4.支持跨网段和跨路由，作为广域网的Internet终端，支持DHCP；</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5.支持网络环境自适应，当网络情况比较差的时候，可启动缓冲和丢包重传；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▲6.⽀持多种⾳视频格式,如：MP3、MP4、WAV、MKV、FLAC等；</w:t>
            </w:r>
            <w:r>
              <w:rPr>
                <w:rFonts w:hint="eastAsia" w:ascii="仿宋" w:hAnsi="仿宋" w:eastAsia="仿宋" w:cs="仿宋"/>
                <w:b/>
                <w:bCs/>
                <w:color w:val="000000"/>
                <w:kern w:val="0"/>
                <w:sz w:val="24"/>
                <w:szCs w:val="24"/>
                <w:lang w:bidi="ar"/>
              </w:rPr>
              <w:t>（提供检测报告并加盖公章）</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7.⽀持混⾳播放功能，寻呼可与背景⾳乐混⾳输出；</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8.确保语⾳清晰的情况下传输带宽码流可达50kbps；</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9.⽹络接⼝：采⽤标准RJ45输⼊；</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10.⽀持⾼⾳质、平衡、低带宽三种传输码流；</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11.网络接口：标准RJ45</w:t>
            </w:r>
          </w:p>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12.功放额定功率：≥10W </w:t>
            </w:r>
          </w:p>
        </w:tc>
      </w:tr>
    </w:tbl>
    <w:p>
      <w:pPr>
        <w:pStyle w:val="2"/>
        <w:spacing w:line="360" w:lineRule="auto"/>
        <w:rPr>
          <w:rFonts w:hint="eastAsia" w:ascii="仿宋" w:hAnsi="仿宋" w:eastAsia="仿宋"/>
          <w:color w:val="000000"/>
          <w:sz w:val="27"/>
          <w:szCs w:val="27"/>
        </w:rPr>
      </w:pPr>
    </w:p>
    <w:p>
      <w:pPr>
        <w:pStyle w:val="2"/>
        <w:spacing w:line="360" w:lineRule="auto"/>
        <w:rPr>
          <w:rFonts w:ascii="仿宋" w:hAnsi="仿宋" w:eastAsia="仿宋" w:cs="仿宋"/>
          <w:b/>
          <w:spacing w:val="1"/>
          <w:sz w:val="28"/>
          <w:highlight w:val="none"/>
        </w:rPr>
      </w:pPr>
      <w:r>
        <w:rPr>
          <w:rFonts w:hint="eastAsia" w:ascii="仿宋" w:hAnsi="仿宋" w:eastAsia="仿宋"/>
          <w:color w:val="000000"/>
          <w:sz w:val="27"/>
          <w:szCs w:val="27"/>
        </w:rPr>
        <w:t>★</w:t>
      </w:r>
      <w:r>
        <w:rPr>
          <w:rFonts w:hint="eastAsia" w:ascii="仿宋" w:hAnsi="仿宋" w:eastAsia="仿宋" w:cs="仿宋"/>
          <w:b/>
          <w:spacing w:val="1"/>
          <w:sz w:val="28"/>
          <w:highlight w:val="none"/>
        </w:rPr>
        <w:t>5.</w:t>
      </w:r>
      <w:r>
        <w:rPr>
          <w:rFonts w:ascii="仿宋" w:hAnsi="仿宋" w:eastAsia="仿宋" w:cs="仿宋"/>
          <w:b/>
          <w:spacing w:val="1"/>
          <w:sz w:val="28"/>
          <w:highlight w:val="none"/>
        </w:rPr>
        <w:t>3</w:t>
      </w:r>
      <w:r>
        <w:rPr>
          <w:rFonts w:hint="eastAsia" w:ascii="仿宋" w:hAnsi="仿宋" w:eastAsia="仿宋" w:cs="仿宋"/>
          <w:b/>
          <w:spacing w:val="1"/>
          <w:sz w:val="28"/>
          <w:highlight w:val="none"/>
        </w:rPr>
        <w:t xml:space="preserve"> 商务要求</w:t>
      </w:r>
    </w:p>
    <w:p>
      <w:pPr>
        <w:pStyle w:val="2"/>
        <w:spacing w:line="360" w:lineRule="auto"/>
        <w:rPr>
          <w:rFonts w:ascii="仿宋" w:hAnsi="仿宋" w:eastAsia="仿宋" w:cs="仿宋"/>
          <w:b/>
          <w:spacing w:val="1"/>
          <w:sz w:val="28"/>
          <w:highlight w:val="none"/>
        </w:rPr>
      </w:pPr>
      <w:r>
        <w:rPr>
          <w:rFonts w:hint="eastAsia" w:ascii="仿宋" w:hAnsi="仿宋" w:eastAsia="仿宋"/>
          <w:color w:val="000000"/>
          <w:sz w:val="28"/>
          <w:szCs w:val="27"/>
          <w:highlight w:val="none"/>
        </w:rPr>
        <w:t>5.3.1付款方式：合同签订生效后，甲方收到乙方履约保证金付款凭证和等额发票后15个工作日内支付中标金额的30%款项；全部设备安装调试完成并验收合格后，甲方收到乙方等额发票后15个工作日内支付中标金额的70%款项。</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5.3.2履约保证金：乙方在合同签订后5个工作日内向甲方支付合同金额的10%的款项作为履约保证金。全部货物安装调试完毕并验收合格满一年后，甲方在接到乙方请款报告后15个工作日内一次性全额无息退还；乙方履约不合格的，履约保证金不予退还。。</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5.3.3交货时间：合同签订后</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日内，成交供应商须将所有货物运抵现场安装调试完毕并交付采购人验收，具体时间可由双方在合同中约定。</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5.3.4由于成交供应商不能交付货物或逾期交付货物而违约的，除应及时交足货物外，应向甲方偿付逾期交货部分货款总额的千分之三/天的违约金；逾期交货超过</w:t>
      </w:r>
      <w:r>
        <w:rPr>
          <w:rFonts w:ascii="仿宋" w:hAnsi="仿宋" w:eastAsia="仿宋"/>
          <w:color w:val="000000"/>
          <w:sz w:val="28"/>
          <w:szCs w:val="27"/>
          <w:highlight w:val="none"/>
        </w:rPr>
        <w:t>15</w:t>
      </w:r>
      <w:r>
        <w:rPr>
          <w:rFonts w:hint="eastAsia" w:ascii="仿宋" w:hAnsi="仿宋" w:eastAsia="仿宋"/>
          <w:color w:val="000000"/>
          <w:sz w:val="28"/>
          <w:szCs w:val="27"/>
          <w:highlight w:val="none"/>
        </w:rPr>
        <w:t>天，甲方有权终止合同，履约保证金不予退还，并须全额退还甲方已经付给乙方的货款及支付累计逾期违约金。</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5.3.5交货地点：四川省精神医学中心。</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5.3.6售后服务（售后服务涉及费用均包含在</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的投标报价中）：</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a.送货上门、安装、调试，并试运行。</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b.提供培训。保证受训人员能熟练操作，并对该设备能进行日常维护，如未达到，医院有权延后支付合同所约定之付款。</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c.如货物在质保期内出现质量问题，</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须在接到通知后2 小时内响应，24 小时内到场维修，或以合同约定为准，并承担相关费用；如质保期内货物经</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两次维修仍不能达到国家相关质量标准，采购人有权更换全新货物、退货并追究</w:t>
      </w:r>
      <w:r>
        <w:rPr>
          <w:rFonts w:hint="eastAsia" w:ascii="仿宋" w:hAnsi="仿宋" w:eastAsia="仿宋"/>
          <w:color w:val="000000"/>
          <w:sz w:val="28"/>
          <w:szCs w:val="27"/>
          <w:highlight w:val="none"/>
          <w:lang w:eastAsia="zh-CN"/>
        </w:rPr>
        <w:t>供应商</w:t>
      </w:r>
      <w:r>
        <w:rPr>
          <w:rFonts w:hint="eastAsia" w:ascii="仿宋" w:hAnsi="仿宋" w:eastAsia="仿宋"/>
          <w:color w:val="000000"/>
          <w:sz w:val="28"/>
          <w:szCs w:val="27"/>
          <w:highlight w:val="none"/>
        </w:rPr>
        <w:t>违约责任。</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d.维修期间，根据采购人需要，提供备用设备。</w:t>
      </w:r>
    </w:p>
    <w:p>
      <w:pPr>
        <w:pStyle w:val="9"/>
        <w:rPr>
          <w:rFonts w:ascii="仿宋" w:hAnsi="仿宋" w:eastAsia="仿宋"/>
          <w:color w:val="000000"/>
          <w:sz w:val="28"/>
          <w:szCs w:val="27"/>
          <w:highlight w:val="none"/>
        </w:rPr>
      </w:pPr>
      <w:r>
        <w:rPr>
          <w:rFonts w:hint="eastAsia" w:ascii="仿宋" w:hAnsi="仿宋" w:eastAsia="仿宋"/>
          <w:color w:val="000000"/>
          <w:sz w:val="28"/>
          <w:szCs w:val="27"/>
          <w:highlight w:val="none"/>
        </w:rPr>
        <w:t>e.质保期不低于3年（合同签订后采购人出具验收报告之日起），范围：整机含所有部件（质保期内涉及维修、产品更换、人工费用等一切费用包含在此次报价中）。</w:t>
      </w:r>
    </w:p>
    <w:p>
      <w:pPr>
        <w:pStyle w:val="10"/>
        <w:ind w:firstLine="280"/>
        <w:rPr>
          <w:rFonts w:ascii="仿宋" w:hAnsi="仿宋" w:eastAsia="仿宋" w:cs="仿宋"/>
          <w:spacing w:val="1"/>
          <w:sz w:val="28"/>
          <w:highlight w:val="none"/>
        </w:rPr>
      </w:pPr>
      <w:r>
        <w:rPr>
          <w:rFonts w:hint="eastAsia" w:ascii="仿宋" w:hAnsi="仿宋" w:eastAsia="仿宋"/>
          <w:color w:val="000000"/>
          <w:sz w:val="28"/>
          <w:szCs w:val="27"/>
          <w:highlight w:val="none"/>
        </w:rPr>
        <w:t>5.3.7验收：成交供应商与采购人将严格按照《财政部关于进一步加强政府采购需求和履约验收管理的指导意见》(财库〔2016〕205号)的要求与各设备验收内容及标准进行验收。</w:t>
      </w:r>
    </w:p>
    <w:p>
      <w:pPr>
        <w:pStyle w:val="2"/>
        <w:spacing w:line="360" w:lineRule="auto"/>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2"/>
        <w:spacing w:line="360" w:lineRule="auto"/>
        <w:rPr>
          <w:rFonts w:ascii="仿宋" w:hAnsi="仿宋" w:eastAsia="仿宋" w:cs="仿宋"/>
          <w:spacing w:val="1"/>
          <w:sz w:val="28"/>
        </w:rPr>
      </w:pPr>
      <w:r>
        <w:rPr>
          <w:rFonts w:hint="eastAsia" w:ascii="仿宋" w:hAnsi="仿宋" w:eastAsia="仿宋" w:cs="仿宋"/>
          <w:spacing w:val="1"/>
          <w:sz w:val="28"/>
        </w:rPr>
        <w:t>（1）免费送货上门、安装、调试，并试运行。</w:t>
      </w:r>
    </w:p>
    <w:p>
      <w:pPr>
        <w:pStyle w:val="2"/>
        <w:spacing w:line="360" w:lineRule="auto"/>
        <w:rPr>
          <w:rFonts w:ascii="仿宋" w:hAnsi="仿宋" w:eastAsia="仿宋" w:cs="仿宋"/>
          <w:spacing w:val="1"/>
          <w:sz w:val="28"/>
        </w:rPr>
      </w:pPr>
      <w:r>
        <w:rPr>
          <w:rFonts w:hint="eastAsia" w:ascii="仿宋" w:hAnsi="仿宋" w:eastAsia="仿宋" w:cs="仿宋"/>
          <w:spacing w:val="1"/>
          <w:sz w:val="28"/>
        </w:rPr>
        <w:t>（2）中标单位负责产品安装、调试，直至采购人能正常使用，所需的一切材料、备件、专业工具均由供应商负责提供。供应商应向采购人提供产品安装、维修所需的专用工具和仪器，所涉及的价格包括在报价总价格中。</w:t>
      </w:r>
    </w:p>
    <w:p>
      <w:pPr>
        <w:pStyle w:val="2"/>
        <w:spacing w:line="360" w:lineRule="auto"/>
        <w:rPr>
          <w:rFonts w:ascii="仿宋" w:hAnsi="仿宋" w:eastAsia="仿宋" w:cs="仿宋"/>
          <w:spacing w:val="1"/>
          <w:sz w:val="28"/>
        </w:rPr>
      </w:pPr>
      <w:r>
        <w:rPr>
          <w:rFonts w:hint="eastAsia" w:ascii="仿宋" w:hAnsi="仿宋" w:eastAsia="仿宋" w:cs="仿宋"/>
          <w:spacing w:val="1"/>
          <w:sz w:val="28"/>
        </w:rPr>
        <w:t>（3）设备的拆箱、安装、通电、调试等项工作由中标单位负责，但必须在采购人指定人员参与下进行。</w:t>
      </w:r>
    </w:p>
    <w:p>
      <w:pPr>
        <w:pStyle w:val="2"/>
        <w:spacing w:line="360" w:lineRule="auto"/>
        <w:rPr>
          <w:rFonts w:ascii="仿宋" w:hAnsi="仿宋" w:eastAsia="仿宋" w:cs="仿宋"/>
          <w:spacing w:val="1"/>
          <w:sz w:val="28"/>
        </w:rPr>
      </w:pPr>
      <w:r>
        <w:rPr>
          <w:rFonts w:hint="eastAsia" w:ascii="仿宋" w:hAnsi="仿宋" w:eastAsia="仿宋" w:cs="仿宋"/>
          <w:spacing w:val="1"/>
          <w:sz w:val="28"/>
        </w:rPr>
        <w:t>（4）调试：按国家相关和行业规范进行调试。</w:t>
      </w:r>
    </w:p>
    <w:p>
      <w:pPr>
        <w:pStyle w:val="2"/>
        <w:spacing w:line="360" w:lineRule="auto"/>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2"/>
        <w:spacing w:line="360" w:lineRule="auto"/>
        <w:rPr>
          <w:rFonts w:ascii="仿宋" w:hAnsi="仿宋" w:eastAsia="仿宋" w:cs="仿宋"/>
          <w:spacing w:val="1"/>
          <w:sz w:val="28"/>
        </w:rPr>
      </w:pPr>
      <w:r>
        <w:rPr>
          <w:rFonts w:hint="eastAsia" w:ascii="仿宋" w:hAnsi="仿宋" w:eastAsia="仿宋" w:cs="仿宋"/>
          <w:spacing w:val="1"/>
          <w:sz w:val="28"/>
        </w:rPr>
        <w:t>（1）按国家有关规定、采购文件的技术参数、商务要求和供应商的响应文件及承诺以及合同约定标准进行验收。</w:t>
      </w:r>
    </w:p>
    <w:p>
      <w:pPr>
        <w:pStyle w:val="2"/>
        <w:spacing w:line="360" w:lineRule="auto"/>
        <w:rPr>
          <w:rFonts w:ascii="仿宋" w:hAnsi="仿宋" w:eastAsia="仿宋" w:cs="仿宋"/>
          <w:spacing w:val="1"/>
          <w:sz w:val="28"/>
        </w:rPr>
      </w:pPr>
      <w:r>
        <w:rPr>
          <w:rFonts w:hint="eastAsia" w:ascii="仿宋" w:hAnsi="仿宋" w:eastAsia="仿宋" w:cs="仿宋"/>
          <w:spacing w:val="1"/>
          <w:sz w:val="28"/>
        </w:rPr>
        <w:t>（2）按照《财政部关于进一步加强政府采购需求和履行验收管理的指导意见》（财库〔2016〕205号）的要求进行验收。</w:t>
      </w:r>
    </w:p>
    <w:p>
      <w:pPr>
        <w:pStyle w:val="2"/>
        <w:spacing w:line="360" w:lineRule="auto"/>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2"/>
        <w:spacing w:line="360" w:lineRule="auto"/>
        <w:rPr>
          <w:rFonts w:ascii="仿宋" w:hAnsi="仿宋" w:eastAsia="仿宋" w:cs="仿宋"/>
          <w:spacing w:val="1"/>
          <w:sz w:val="28"/>
        </w:rPr>
      </w:pPr>
      <w:r>
        <w:rPr>
          <w:rFonts w:hint="eastAsia" w:ascii="仿宋" w:hAnsi="仿宋" w:eastAsia="仿宋" w:cs="仿宋"/>
          <w:spacing w:val="1"/>
          <w:sz w:val="28"/>
        </w:rPr>
        <w:t>（1）提供有关资料及售后服务承诺。</w:t>
      </w:r>
    </w:p>
    <w:p>
      <w:pPr>
        <w:pStyle w:val="2"/>
        <w:spacing w:line="360" w:lineRule="auto"/>
        <w:rPr>
          <w:rFonts w:ascii="仿宋" w:hAnsi="仿宋" w:eastAsia="仿宋" w:cs="仿宋"/>
          <w:spacing w:val="1"/>
          <w:sz w:val="28"/>
        </w:rPr>
      </w:pPr>
      <w:r>
        <w:rPr>
          <w:rFonts w:hint="eastAsia" w:ascii="仿宋" w:hAnsi="仿宋" w:eastAsia="仿宋" w:cs="仿宋"/>
          <w:spacing w:val="1"/>
          <w:sz w:val="28"/>
        </w:rPr>
        <w:t xml:space="preserve">（2）质保期内供应商应免费负责产品维护、维修及抢修在质保期内设置 7×24 小时技术支持热线电话（固话、手机）。如 2 小时内无法电话解决问题，供应商维修工程师必须在接到故障报告后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小时内到达采购人现场修理和更换零件，费用（包括材料）由供应商承担。</w:t>
      </w:r>
    </w:p>
    <w:p>
      <w:pPr>
        <w:pStyle w:val="2"/>
        <w:spacing w:line="360" w:lineRule="auto"/>
        <w:rPr>
          <w:rFonts w:ascii="仿宋" w:hAnsi="仿宋" w:eastAsia="仿宋" w:cs="仿宋"/>
          <w:spacing w:val="1"/>
          <w:sz w:val="28"/>
        </w:rPr>
      </w:pPr>
      <w:r>
        <w:rPr>
          <w:rFonts w:hint="eastAsia" w:ascii="仿宋" w:hAnsi="仿宋" w:eastAsia="仿宋" w:cs="仿宋"/>
          <w:spacing w:val="1"/>
          <w:sz w:val="28"/>
        </w:rPr>
        <w:t>（3）质保期后，应加强设备巡检，供应商应向采购人提供及时的、优质的、价格优惠的技术服务和备品备件供应。</w:t>
      </w:r>
    </w:p>
    <w:p>
      <w:pPr>
        <w:pStyle w:val="2"/>
        <w:spacing w:line="360" w:lineRule="auto"/>
        <w:rPr>
          <w:rFonts w:ascii="仿宋" w:hAnsi="仿宋" w:eastAsia="仿宋" w:cs="仿宋"/>
          <w:spacing w:val="1"/>
          <w:sz w:val="28"/>
        </w:rPr>
      </w:pPr>
      <w:r>
        <w:rPr>
          <w:rFonts w:hint="eastAsia" w:ascii="仿宋" w:hAnsi="仿宋" w:eastAsia="仿宋" w:cs="仿宋"/>
          <w:spacing w:val="1"/>
          <w:sz w:val="28"/>
        </w:rPr>
        <w:t>（4）有零部件储备仓库，能及时提供配件，可保证维修速度及质量。</w:t>
      </w:r>
    </w:p>
    <w:p>
      <w:pPr>
        <w:pStyle w:val="2"/>
        <w:spacing w:line="360" w:lineRule="auto"/>
        <w:rPr>
          <w:rFonts w:ascii="仿宋" w:hAnsi="仿宋" w:eastAsia="仿宋" w:cs="仿宋"/>
          <w:spacing w:val="1"/>
          <w:sz w:val="28"/>
        </w:rPr>
      </w:pPr>
      <w:r>
        <w:rPr>
          <w:rFonts w:hint="eastAsia" w:ascii="仿宋" w:hAnsi="仿宋" w:eastAsia="仿宋" w:cs="仿宋"/>
          <w:spacing w:val="1"/>
          <w:sz w:val="28"/>
        </w:rPr>
        <w:t>（5）对相关操作人员进行培训，能熟练操作、进行简单的故障处理。</w:t>
      </w:r>
    </w:p>
    <w:p>
      <w:pPr>
        <w:pStyle w:val="2"/>
        <w:spacing w:line="360" w:lineRule="auto"/>
        <w:rPr>
          <w:rFonts w:ascii="仿宋" w:hAnsi="仿宋" w:eastAsia="仿宋" w:cs="仿宋"/>
          <w:spacing w:val="1"/>
          <w:sz w:val="28"/>
        </w:rPr>
      </w:pPr>
      <w:r>
        <w:rPr>
          <w:rFonts w:hint="eastAsia" w:ascii="仿宋" w:hAnsi="仿宋" w:eastAsia="仿宋" w:cs="仿宋"/>
          <w:spacing w:val="1"/>
          <w:sz w:val="28"/>
        </w:rPr>
        <w:t>（6）随机资料：提供纸质中文操作使用手册和维修手册。</w:t>
      </w:r>
    </w:p>
    <w:p>
      <w:pPr>
        <w:numPr>
          <w:ilvl w:val="0"/>
          <w:numId w:val="1"/>
        </w:numPr>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8809" w:type="dxa"/>
        <w:tblInd w:w="96" w:type="dxa"/>
        <w:tblLayout w:type="fixed"/>
        <w:tblCellMar>
          <w:top w:w="0" w:type="dxa"/>
          <w:left w:w="108" w:type="dxa"/>
          <w:bottom w:w="0" w:type="dxa"/>
          <w:right w:w="108" w:type="dxa"/>
        </w:tblCellMar>
      </w:tblPr>
      <w:tblGrid>
        <w:gridCol w:w="659"/>
        <w:gridCol w:w="1100"/>
        <w:gridCol w:w="1100"/>
        <w:gridCol w:w="1113"/>
        <w:gridCol w:w="4837"/>
      </w:tblGrid>
      <w:tr>
        <w:tblPrEx>
          <w:tblCellMar>
            <w:top w:w="0" w:type="dxa"/>
            <w:left w:w="108" w:type="dxa"/>
            <w:bottom w:w="0" w:type="dxa"/>
            <w:right w:w="108" w:type="dxa"/>
          </w:tblCellMar>
        </w:tblPrEx>
        <w:trPr>
          <w:trHeight w:val="324"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firstLineChars="0"/>
              <w:jc w:val="center"/>
              <w:textAlignment w:val="top"/>
              <w:rPr>
                <w:rStyle w:val="23"/>
                <w:rFonts w:hint="eastAsia" w:eastAsia="微软雅黑"/>
                <w:lang w:val="en-US" w:eastAsia="zh-CN" w:bidi="ar"/>
              </w:rPr>
            </w:pPr>
            <w:r>
              <w:rPr>
                <w:rStyle w:val="23"/>
                <w:rFonts w:hint="eastAsia" w:eastAsia="微软雅黑"/>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firstLineChars="0"/>
              <w:jc w:val="center"/>
              <w:textAlignment w:val="top"/>
              <w:rPr>
                <w:rStyle w:val="23"/>
                <w:rFonts w:hint="eastAsia" w:eastAsia="微软雅黑"/>
                <w:lang w:val="en-US" w:eastAsia="zh-CN" w:bidi="ar"/>
              </w:rPr>
            </w:pPr>
            <w:r>
              <w:rPr>
                <w:rStyle w:val="23"/>
                <w:rFonts w:hint="eastAsia" w:eastAsia="微软雅黑"/>
                <w:lang w:val="en-US" w:eastAsia="zh-CN" w:bidi="ar"/>
              </w:rPr>
              <w:t>评分因素及权重</w:t>
            </w:r>
          </w:p>
        </w:tc>
        <w:tc>
          <w:tcPr>
            <w:tcW w:w="1100"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firstLineChars="0"/>
              <w:jc w:val="center"/>
              <w:textAlignment w:val="top"/>
              <w:rPr>
                <w:rStyle w:val="23"/>
                <w:rFonts w:hint="eastAsia" w:eastAsia="微软雅黑"/>
                <w:lang w:val="en-US" w:eastAsia="zh-CN" w:bidi="ar"/>
              </w:rPr>
            </w:pPr>
            <w:r>
              <w:rPr>
                <w:rStyle w:val="23"/>
                <w:rFonts w:hint="eastAsia" w:eastAsia="微软雅黑"/>
                <w:lang w:val="en-US" w:eastAsia="zh-CN" w:bidi="ar"/>
              </w:rPr>
              <w:t>评分指标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ind w:firstLine="210" w:firstLineChars="100"/>
              <w:jc w:val="both"/>
              <w:textAlignment w:val="top"/>
              <w:rPr>
                <w:rFonts w:hint="default" w:ascii="微软雅黑" w:hAnsi="微软雅黑" w:eastAsia="微软雅黑" w:cs="微软雅黑"/>
                <w:b/>
                <w:bCs/>
                <w:color w:val="000000"/>
                <w:kern w:val="2"/>
                <w:sz w:val="21"/>
                <w:szCs w:val="21"/>
                <w:lang w:val="en-US" w:eastAsia="zh-CN" w:bidi="ar-SA"/>
              </w:rPr>
            </w:pPr>
            <w:r>
              <w:rPr>
                <w:rStyle w:val="23"/>
                <w:rFonts w:hint="default"/>
                <w:lang w:bidi="ar"/>
              </w:rPr>
              <w:t>分值</w:t>
            </w:r>
          </w:p>
        </w:tc>
        <w:tc>
          <w:tcPr>
            <w:tcW w:w="483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firstLineChars="0"/>
              <w:jc w:val="center"/>
              <w:textAlignment w:val="top"/>
              <w:rPr>
                <w:rFonts w:ascii="微软雅黑" w:hAnsi="微软雅黑" w:eastAsia="微软雅黑" w:cs="微软雅黑"/>
                <w:b/>
                <w:bCs/>
                <w:color w:val="000000"/>
                <w:sz w:val="21"/>
                <w:szCs w:val="21"/>
              </w:rPr>
            </w:pPr>
            <w:r>
              <w:rPr>
                <w:rStyle w:val="23"/>
                <w:rFonts w:hint="default"/>
                <w:lang w:bidi="ar"/>
              </w:rPr>
              <w:t>评标标准</w:t>
            </w:r>
          </w:p>
        </w:tc>
      </w:tr>
      <w:tr>
        <w:tblPrEx>
          <w:tblCellMar>
            <w:top w:w="0" w:type="dxa"/>
            <w:left w:w="108" w:type="dxa"/>
            <w:bottom w:w="0" w:type="dxa"/>
            <w:right w:w="108" w:type="dxa"/>
          </w:tblCellMar>
        </w:tblPrEx>
        <w:trPr>
          <w:trHeight w:val="2166"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Style w:val="24"/>
                <w:rFonts w:hint="eastAsia" w:ascii="仿宋" w:hAnsi="仿宋" w:eastAsia="仿宋" w:cs="仿宋"/>
                <w:sz w:val="24"/>
                <w:szCs w:val="24"/>
                <w:lang w:val="en-US" w:eastAsia="zh-CN" w:bidi="ar"/>
              </w:rPr>
            </w:pPr>
            <w:r>
              <w:rPr>
                <w:rStyle w:val="24"/>
                <w:rFonts w:hint="eastAsia" w:ascii="仿宋" w:hAnsi="仿宋" w:eastAsia="仿宋" w:cs="仿宋"/>
                <w:sz w:val="24"/>
                <w:szCs w:val="24"/>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ordWrap w:val="0"/>
              <w:ind w:firstLine="28"/>
              <w:jc w:val="both"/>
              <w:rPr>
                <w:rFonts w:hint="eastAsia" w:ascii="仿宋" w:hAnsi="仿宋" w:eastAsia="仿宋" w:cs="仿宋"/>
                <w:color w:val="000000"/>
                <w:sz w:val="24"/>
                <w:szCs w:val="24"/>
              </w:rPr>
            </w:pPr>
            <w:r>
              <w:rPr>
                <w:rFonts w:hint="eastAsia" w:ascii="仿宋" w:hAnsi="仿宋" w:eastAsia="仿宋" w:cs="仿宋"/>
                <w:kern w:val="0"/>
                <w:sz w:val="24"/>
              </w:rPr>
              <w:t>报价部分30%（共同类评分因素）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default" w:ascii="仿宋" w:hAnsi="仿宋" w:eastAsia="仿宋" w:cs="仿宋"/>
                <w:color w:val="000000"/>
                <w:sz w:val="24"/>
                <w:szCs w:val="24"/>
                <w:lang w:val="en-US" w:eastAsia="zh-CN"/>
              </w:rPr>
            </w:pPr>
            <w:r>
              <w:rPr>
                <w:rFonts w:hint="eastAsia" w:ascii="仿宋" w:hAnsi="仿宋" w:eastAsia="仿宋" w:cs="仿宋"/>
                <w:kern w:val="0"/>
                <w:sz w:val="24"/>
              </w:rPr>
              <w:t>评分指标</w:t>
            </w:r>
            <w:r>
              <w:rPr>
                <w:rFonts w:hint="eastAsia" w:ascii="仿宋" w:hAnsi="仿宋" w:eastAsia="仿宋" w:cs="仿宋"/>
                <w:kern w:val="0"/>
                <w:sz w:val="24"/>
                <w:lang w:val="en-US" w:eastAsia="zh-CN"/>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30</w:t>
            </w:r>
            <w:r>
              <w:rPr>
                <w:rFonts w:hint="eastAsia" w:ascii="仿宋" w:hAnsi="仿宋" w:eastAsia="仿宋" w:cs="仿宋"/>
                <w:color w:val="000000"/>
                <w:kern w:val="0"/>
                <w:sz w:val="24"/>
                <w:szCs w:val="24"/>
                <w:lang w:val="en-US" w:eastAsia="zh-CN" w:bidi="ar"/>
              </w:rPr>
              <w:t>分</w:t>
            </w:r>
          </w:p>
        </w:tc>
        <w:tc>
          <w:tcPr>
            <w:tcW w:w="483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firstLineChars="0"/>
              <w:jc w:val="left"/>
              <w:textAlignment w:val="top"/>
              <w:rPr>
                <w:rStyle w:val="25"/>
                <w:rFonts w:hint="eastAsia" w:ascii="仿宋" w:hAnsi="仿宋" w:eastAsia="仿宋" w:cs="仿宋"/>
                <w:sz w:val="24"/>
                <w:szCs w:val="24"/>
                <w:lang w:bidi="ar"/>
              </w:rPr>
            </w:pPr>
            <w:r>
              <w:rPr>
                <w:rStyle w:val="25"/>
                <w:rFonts w:hint="eastAsia" w:ascii="仿宋" w:hAnsi="仿宋" w:eastAsia="仿宋" w:cs="仿宋"/>
                <w:sz w:val="24"/>
                <w:szCs w:val="24"/>
                <w:lang w:bidi="ar"/>
              </w:rPr>
              <w:t>满足招标文件需求且投标价格最低的投标报价为评标基准价，其价格为满分。其他合格</w:t>
            </w:r>
            <w:r>
              <w:rPr>
                <w:rStyle w:val="25"/>
                <w:rFonts w:hint="eastAsia" w:ascii="仿宋" w:hAnsi="仿宋" w:eastAsia="仿宋" w:cs="仿宋"/>
                <w:sz w:val="24"/>
                <w:szCs w:val="24"/>
                <w:lang w:eastAsia="zh-CN" w:bidi="ar"/>
              </w:rPr>
              <w:t>供应商</w:t>
            </w:r>
            <w:r>
              <w:rPr>
                <w:rStyle w:val="25"/>
                <w:rFonts w:hint="eastAsia" w:ascii="仿宋" w:hAnsi="仿宋" w:eastAsia="仿宋" w:cs="仿宋"/>
                <w:sz w:val="24"/>
                <w:szCs w:val="24"/>
                <w:lang w:bidi="ar"/>
              </w:rPr>
              <w:t>的价格分统一按照下列公式计算：投标报价得分＝（评标基准价/投标报价）×30%×100。</w:t>
            </w:r>
          </w:p>
          <w:p>
            <w:pPr>
              <w:pStyle w:val="2"/>
              <w:rPr>
                <w:rFonts w:hint="eastAsia"/>
              </w:rPr>
            </w:pPr>
            <w:r>
              <w:rPr>
                <w:rFonts w:hint="eastAsia" w:ascii="仿宋" w:hAnsi="仿宋" w:eastAsia="仿宋" w:cs="仿宋"/>
                <w:kern w:val="0"/>
                <w:sz w:val="24"/>
              </w:rPr>
              <w:t>1、小微企业（监狱企业、残疾人福利性单位视同小微企业）价格扣除按照本招标文件投标须知前附表规定执行。</w:t>
            </w:r>
          </w:p>
        </w:tc>
      </w:tr>
      <w:tr>
        <w:tblPrEx>
          <w:tblCellMar>
            <w:top w:w="0" w:type="dxa"/>
            <w:left w:w="108" w:type="dxa"/>
            <w:bottom w:w="0" w:type="dxa"/>
            <w:right w:w="108" w:type="dxa"/>
          </w:tblCellMar>
        </w:tblPrEx>
        <w:trPr>
          <w:trHeight w:val="90" w:hRule="atLeast"/>
        </w:trPr>
        <w:tc>
          <w:tcPr>
            <w:tcW w:w="659"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技术部份（</w:t>
            </w:r>
            <w:r>
              <w:rPr>
                <w:rFonts w:hint="eastAsia" w:ascii="仿宋" w:hAnsi="仿宋" w:eastAsia="仿宋" w:cs="仿宋"/>
                <w:color w:val="000000"/>
                <w:kern w:val="0"/>
                <w:sz w:val="24"/>
                <w:szCs w:val="24"/>
                <w:lang w:val="en-US" w:eastAsia="zh-CN" w:bidi="ar"/>
              </w:rPr>
              <w:t>41</w:t>
            </w:r>
            <w:r>
              <w:rPr>
                <w:rFonts w:hint="eastAsia" w:ascii="仿宋" w:hAnsi="仿宋" w:eastAsia="仿宋" w:cs="仿宋"/>
                <w:color w:val="000000"/>
                <w:kern w:val="0"/>
                <w:sz w:val="24"/>
                <w:szCs w:val="24"/>
                <w:lang w:bidi="ar"/>
              </w:rPr>
              <w:t>%）</w:t>
            </w:r>
            <w:r>
              <w:rPr>
                <w:rFonts w:hint="eastAsia" w:ascii="仿宋" w:hAnsi="仿宋" w:eastAsia="仿宋" w:cs="仿宋"/>
                <w:kern w:val="0"/>
                <w:sz w:val="24"/>
              </w:rPr>
              <w:t>（技术类评分因素）</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品牌实力（</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4分</w:t>
            </w:r>
          </w:p>
        </w:tc>
        <w:tc>
          <w:tcPr>
            <w:tcW w:w="4837"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bidi="ar"/>
              </w:rPr>
              <w:t>供应商</w:t>
            </w:r>
            <w:r>
              <w:rPr>
                <w:rFonts w:hint="eastAsia" w:ascii="仿宋" w:hAnsi="仿宋" w:eastAsia="仿宋" w:cs="仿宋"/>
                <w:color w:val="000000"/>
                <w:kern w:val="0"/>
                <w:sz w:val="24"/>
                <w:szCs w:val="24"/>
                <w:lang w:bidi="ar"/>
              </w:rPr>
              <w:t>所投品牌经营范围含有《销售电子产品、自行开发后的产品》能力；《生产电子产品（可许可分支机构经营）》能力。得</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分，不满足不得分。</w:t>
            </w:r>
          </w:p>
        </w:tc>
      </w:tr>
      <w:tr>
        <w:tblPrEx>
          <w:tblCellMar>
            <w:top w:w="0" w:type="dxa"/>
            <w:left w:w="108" w:type="dxa"/>
            <w:bottom w:w="0" w:type="dxa"/>
            <w:right w:w="108" w:type="dxa"/>
          </w:tblCellMar>
        </w:tblPrEx>
        <w:trPr>
          <w:trHeight w:val="1565" w:hRule="atLeast"/>
        </w:trPr>
        <w:tc>
          <w:tcPr>
            <w:tcW w:w="659" w:type="dxa"/>
            <w:vMerge w:val="continue"/>
            <w:tcBorders>
              <w:left w:val="single" w:color="000000" w:sz="4" w:space="0"/>
              <w:bottom w:val="single" w:color="000000" w:sz="4" w:space="0"/>
              <w:right w:val="single" w:color="000000" w:sz="4" w:space="0"/>
            </w:tcBorders>
            <w:shd w:val="clear" w:color="auto" w:fill="auto"/>
            <w:vAlign w:val="center"/>
          </w:tcPr>
          <w:p>
            <w:pPr>
              <w:ind w:firstLine="420"/>
              <w:jc w:val="center"/>
              <w:rPr>
                <w:rFonts w:hint="eastAsia" w:ascii="仿宋" w:hAnsi="仿宋" w:eastAsia="仿宋" w:cs="仿宋"/>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hint="eastAsia" w:ascii="仿宋" w:hAnsi="仿宋" w:eastAsia="仿宋" w:cs="仿宋"/>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sz w:val="24"/>
                <w:szCs w:val="24"/>
              </w:rPr>
            </w:pPr>
            <w:r>
              <w:rPr>
                <w:rFonts w:hint="eastAsia" w:ascii="仿宋" w:hAnsi="仿宋" w:eastAsia="仿宋" w:cs="仿宋"/>
                <w:kern w:val="0"/>
                <w:sz w:val="24"/>
              </w:rPr>
              <w:t>技术指标和配置</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37</w:t>
            </w:r>
            <w:r>
              <w:rPr>
                <w:rFonts w:hint="eastAsia" w:ascii="仿宋" w:hAnsi="仿宋" w:eastAsia="仿宋" w:cs="仿宋"/>
                <w:color w:val="000000"/>
                <w:kern w:val="0"/>
                <w:sz w:val="24"/>
                <w:szCs w:val="24"/>
                <w:lang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37分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 w:hAnsi="仿宋" w:eastAsia="仿宋" w:cs="仿宋"/>
                <w:color w:val="000000"/>
                <w:kern w:val="0"/>
                <w:sz w:val="24"/>
                <w:szCs w:val="24"/>
                <w:lang w:bidi="ar"/>
              </w:rPr>
            </w:pPr>
          </w:p>
          <w:p>
            <w:pPr>
              <w:rPr>
                <w:rFonts w:ascii="仿宋" w:hAnsi="仿宋" w:eastAsia="仿宋" w:cs="仿宋"/>
                <w:color w:val="auto"/>
                <w:sz w:val="24"/>
                <w:szCs w:val="24"/>
              </w:rPr>
            </w:pPr>
            <w:r>
              <w:rPr>
                <w:rFonts w:hint="eastAsia" w:ascii="仿宋" w:hAnsi="仿宋" w:eastAsia="仿宋" w:cs="仿宋"/>
                <w:color w:val="auto"/>
                <w:sz w:val="24"/>
                <w:szCs w:val="24"/>
              </w:rPr>
              <w:t>技术指标和配置完全符合磋商文件第三章“技术要求”没有负偏离得</w:t>
            </w:r>
            <w:r>
              <w:rPr>
                <w:rFonts w:hint="eastAsia" w:ascii="仿宋" w:hAnsi="仿宋" w:eastAsia="仿宋" w:cs="仿宋"/>
                <w:color w:val="auto"/>
                <w:sz w:val="24"/>
                <w:szCs w:val="24"/>
                <w:lang w:val="en-US" w:eastAsia="zh-CN"/>
              </w:rPr>
              <w:t>37</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1、供应商针对磋商文件的一般技术参数条款的响应得分规则如下：（一般技术参数条款指未标注“▲”或“★”的条款）</w:t>
            </w:r>
          </w:p>
          <w:p>
            <w:pPr>
              <w:rPr>
                <w:rFonts w:ascii="仿宋" w:hAnsi="仿宋" w:eastAsia="仿宋" w:cs="仿宋"/>
                <w:color w:val="auto"/>
                <w:sz w:val="24"/>
                <w:szCs w:val="24"/>
              </w:rPr>
            </w:pPr>
            <w:r>
              <w:rPr>
                <w:rFonts w:hint="eastAsia" w:ascii="仿宋" w:hAnsi="仿宋" w:eastAsia="仿宋" w:cs="仿宋"/>
                <w:color w:val="auto"/>
                <w:sz w:val="24"/>
                <w:szCs w:val="24"/>
              </w:rPr>
              <w:t>一般技术参数条款响应得分=（</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满足一般技术参数条款的数量÷一般技术参数条款的总数量）×</w:t>
            </w:r>
            <w:r>
              <w:rPr>
                <w:rFonts w:ascii="仿宋" w:hAnsi="仿宋" w:eastAsia="仿宋" w:cs="仿宋"/>
                <w:color w:val="auto"/>
                <w:sz w:val="24"/>
                <w:szCs w:val="24"/>
              </w:rPr>
              <w:t>15</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2、供应商针对磋商文件技术参数中加“▲”技术参数条款的响应得分规则如下：</w:t>
            </w:r>
          </w:p>
          <w:p>
            <w:pPr>
              <w:rPr>
                <w:rFonts w:ascii="仿宋" w:hAnsi="仿宋" w:eastAsia="仿宋" w:cs="仿宋"/>
                <w:color w:val="auto"/>
                <w:sz w:val="24"/>
                <w:szCs w:val="24"/>
              </w:rPr>
            </w:pPr>
            <w:r>
              <w:rPr>
                <w:rFonts w:hint="eastAsia" w:ascii="仿宋" w:hAnsi="仿宋" w:eastAsia="仿宋" w:cs="仿宋"/>
                <w:color w:val="auto"/>
                <w:sz w:val="24"/>
                <w:szCs w:val="24"/>
              </w:rPr>
              <w:t>“▲”技术参数条款响应得分=（供应商满足“▲”技术参数条款的数量÷“▲”技术参数条款的总数量）×</w:t>
            </w:r>
            <w:r>
              <w:rPr>
                <w:rFonts w:hint="eastAsia" w:ascii="仿宋" w:hAnsi="仿宋" w:eastAsia="仿宋" w:cs="仿宋"/>
                <w:color w:val="auto"/>
                <w:sz w:val="24"/>
                <w:szCs w:val="24"/>
                <w:lang w:val="en-US" w:eastAsia="zh-CN"/>
              </w:rPr>
              <w:t>32</w:t>
            </w:r>
            <w:r>
              <w:rPr>
                <w:rFonts w:hint="eastAsia" w:ascii="仿宋" w:hAnsi="仿宋" w:eastAsia="仿宋" w:cs="仿宋"/>
                <w:color w:val="auto"/>
                <w:sz w:val="24"/>
                <w:szCs w:val="24"/>
              </w:rPr>
              <w:t>分。</w:t>
            </w:r>
          </w:p>
          <w:p>
            <w:pPr>
              <w:rPr>
                <w:rFonts w:ascii="仿宋" w:hAnsi="仿宋" w:eastAsia="仿宋" w:cs="仿宋"/>
                <w:color w:val="auto"/>
                <w:sz w:val="24"/>
                <w:szCs w:val="24"/>
              </w:rPr>
            </w:pPr>
            <w:r>
              <w:rPr>
                <w:rFonts w:hint="eastAsia" w:ascii="仿宋" w:hAnsi="仿宋" w:eastAsia="仿宋" w:cs="仿宋"/>
                <w:color w:val="auto"/>
                <w:sz w:val="24"/>
                <w:szCs w:val="24"/>
              </w:rPr>
              <w:t>注：</w:t>
            </w:r>
          </w:p>
          <w:p>
            <w:pPr>
              <w:rPr>
                <w:rFonts w:ascii="仿宋" w:hAnsi="仿宋" w:eastAsia="仿宋" w:cs="仿宋"/>
                <w:color w:val="auto"/>
                <w:sz w:val="24"/>
                <w:szCs w:val="24"/>
              </w:rPr>
            </w:pPr>
            <w:r>
              <w:rPr>
                <w:rFonts w:hint="eastAsia" w:ascii="仿宋" w:hAnsi="仿宋" w:eastAsia="仿宋" w:cs="仿宋"/>
                <w:color w:val="auto"/>
                <w:sz w:val="24"/>
                <w:szCs w:val="24"/>
              </w:rPr>
              <w:t>①得分保留小数点后两位小数，四舍五入。</w:t>
            </w:r>
          </w:p>
          <w:p>
            <w:pPr>
              <w:rPr>
                <w:rFonts w:ascii="仿宋" w:hAnsi="仿宋" w:eastAsia="仿宋" w:cs="仿宋"/>
                <w:color w:val="auto"/>
                <w:sz w:val="24"/>
                <w:szCs w:val="24"/>
              </w:rPr>
            </w:pPr>
            <w:r>
              <w:rPr>
                <w:rFonts w:hint="eastAsia" w:ascii="仿宋" w:hAnsi="仿宋" w:eastAsia="仿宋" w:cs="仿宋"/>
                <w:color w:val="auto"/>
                <w:sz w:val="24"/>
                <w:szCs w:val="24"/>
              </w:rPr>
              <w:t>②标注“★”的条款为本项目实质性要求，不作为本项评审。</w:t>
            </w:r>
          </w:p>
          <w:p>
            <w:pPr>
              <w:widowControl/>
              <w:ind w:firstLine="0" w:firstLineChars="0"/>
              <w:jc w:val="left"/>
              <w:textAlignment w:val="center"/>
              <w:rPr>
                <w:rFonts w:hint="eastAsia" w:ascii="仿宋" w:hAnsi="仿宋" w:eastAsia="仿宋" w:cs="仿宋"/>
                <w:color w:val="000000"/>
                <w:sz w:val="24"/>
                <w:szCs w:val="24"/>
              </w:rPr>
            </w:pPr>
            <w:r>
              <w:rPr>
                <w:rFonts w:ascii="仿宋" w:hAnsi="仿宋" w:eastAsia="仿宋" w:cs="仿宋"/>
                <w:color w:val="auto"/>
                <w:sz w:val="24"/>
                <w:szCs w:val="24"/>
              </w:rPr>
              <w:t>③</w:t>
            </w:r>
            <w:r>
              <w:rPr>
                <w:rFonts w:hint="eastAsia" w:ascii="仿宋" w:hAnsi="仿宋" w:eastAsia="仿宋" w:cs="仿宋"/>
                <w:color w:val="auto"/>
                <w:sz w:val="24"/>
                <w:szCs w:val="24"/>
              </w:rPr>
              <w:t>磋商文件</w:t>
            </w:r>
            <w:r>
              <w:rPr>
                <w:rFonts w:ascii="仿宋" w:hAnsi="仿宋" w:eastAsia="仿宋" w:cs="仿宋"/>
                <w:color w:val="auto"/>
                <w:sz w:val="24"/>
                <w:szCs w:val="24"/>
              </w:rPr>
              <w:t>中</w:t>
            </w:r>
            <w:r>
              <w:rPr>
                <w:rFonts w:hint="eastAsia" w:ascii="仿宋" w:hAnsi="仿宋" w:eastAsia="仿宋" w:cs="仿宋"/>
                <w:color w:val="auto"/>
                <w:sz w:val="24"/>
                <w:szCs w:val="24"/>
              </w:rPr>
              <w:t>▲</w:t>
            </w:r>
            <w:r>
              <w:rPr>
                <w:rFonts w:ascii="仿宋" w:hAnsi="仿宋" w:eastAsia="仿宋" w:cs="仿宋"/>
                <w:color w:val="auto"/>
                <w:sz w:val="24"/>
                <w:szCs w:val="24"/>
              </w:rPr>
              <w:t>号条款，若技术参数中要求了证明材料的按技术参数中的要求提供，若</w:t>
            </w:r>
            <w:r>
              <w:rPr>
                <w:rFonts w:hint="eastAsia" w:ascii="仿宋" w:hAnsi="仿宋" w:eastAsia="仿宋" w:cs="仿宋"/>
                <w:color w:val="auto"/>
                <w:sz w:val="24"/>
                <w:szCs w:val="24"/>
              </w:rPr>
              <w:t>▲</w:t>
            </w:r>
            <w:r>
              <w:rPr>
                <w:rFonts w:ascii="仿宋" w:hAnsi="仿宋" w:eastAsia="仿宋" w:cs="仿宋"/>
                <w:color w:val="auto"/>
                <w:sz w:val="24"/>
                <w:szCs w:val="24"/>
              </w:rPr>
              <w:t>号条款技术参数中未要求佐证材料的</w:t>
            </w:r>
            <w:r>
              <w:rPr>
                <w:rFonts w:ascii="Calibri" w:hAnsi="Calibri" w:eastAsia="仿宋"/>
                <w:color w:val="auto"/>
                <w:sz w:val="24"/>
                <w:szCs w:val="24"/>
              </w:rPr>
              <w:t>，</w:t>
            </w:r>
            <w:r>
              <w:rPr>
                <w:rFonts w:hint="eastAsia" w:ascii="Calibri" w:hAnsi="Calibri" w:eastAsia="仿宋"/>
                <w:color w:val="auto"/>
                <w:sz w:val="24"/>
                <w:szCs w:val="24"/>
              </w:rPr>
              <w:t>供应商</w:t>
            </w:r>
            <w:r>
              <w:rPr>
                <w:rFonts w:ascii="Calibri" w:hAnsi="Calibri" w:eastAsia="仿宋"/>
                <w:color w:val="auto"/>
                <w:sz w:val="24"/>
                <w:szCs w:val="24"/>
              </w:rPr>
              <w:t>需提供说明书、产品彩页、检测报告等技术文件作为佐证（至少包含其中之一）并加盖</w:t>
            </w:r>
            <w:r>
              <w:rPr>
                <w:rFonts w:hint="eastAsia" w:ascii="Calibri" w:hAnsi="Calibri" w:eastAsia="仿宋"/>
                <w:color w:val="auto"/>
                <w:sz w:val="24"/>
                <w:szCs w:val="24"/>
              </w:rPr>
              <w:t>供应商</w:t>
            </w:r>
            <w:r>
              <w:rPr>
                <w:rFonts w:ascii="Calibri" w:hAnsi="Calibri" w:eastAsia="仿宋"/>
                <w:color w:val="auto"/>
                <w:sz w:val="24"/>
                <w:szCs w:val="24"/>
              </w:rPr>
              <w:t>公章，如技术指标和配置在技术文件中未对应出现，或在不同技术文件中存在自相矛盾之处或未提供的不得分。</w:t>
            </w:r>
          </w:p>
        </w:tc>
      </w:tr>
      <w:tr>
        <w:tblPrEx>
          <w:tblCellMar>
            <w:top w:w="0" w:type="dxa"/>
            <w:left w:w="108" w:type="dxa"/>
            <w:bottom w:w="0" w:type="dxa"/>
            <w:right w:w="108" w:type="dxa"/>
          </w:tblCellMar>
        </w:tblPrEx>
        <w:trPr>
          <w:trHeight w:val="2246" w:hRule="atLeast"/>
        </w:trPr>
        <w:tc>
          <w:tcPr>
            <w:tcW w:w="659"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商务部分（</w:t>
            </w:r>
            <w:r>
              <w:rPr>
                <w:rFonts w:hint="eastAsia" w:ascii="仿宋" w:hAnsi="仿宋" w:eastAsia="仿宋" w:cs="仿宋"/>
                <w:color w:val="000000"/>
                <w:kern w:val="0"/>
                <w:sz w:val="24"/>
                <w:szCs w:val="24"/>
                <w:lang w:val="en-US" w:eastAsia="zh-CN" w:bidi="ar"/>
              </w:rPr>
              <w:t>29</w:t>
            </w:r>
            <w:r>
              <w:rPr>
                <w:rFonts w:hint="eastAsia" w:ascii="仿宋" w:hAnsi="仿宋" w:eastAsia="仿宋" w:cs="仿宋"/>
                <w:color w:val="000000"/>
                <w:kern w:val="0"/>
                <w:sz w:val="24"/>
                <w:szCs w:val="24"/>
                <w:lang w:bidi="ar"/>
              </w:rPr>
              <w:t>%）</w:t>
            </w:r>
            <w:r>
              <w:rPr>
                <w:rFonts w:hint="eastAsia" w:ascii="仿宋" w:hAnsi="仿宋" w:eastAsia="仿宋" w:cs="仿宋"/>
                <w:kern w:val="0"/>
                <w:sz w:val="24"/>
              </w:rPr>
              <w:t>（共同类评分因素）</w:t>
            </w:r>
          </w:p>
        </w:tc>
        <w:tc>
          <w:tcPr>
            <w:tcW w:w="1100" w:type="dxa"/>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服务方案</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0"/>
                <w:sz w:val="24"/>
                <w:szCs w:val="24"/>
                <w:lang w:bidi="ar"/>
              </w:rPr>
              <w:t>%)</w:t>
            </w:r>
          </w:p>
        </w:tc>
        <w:tc>
          <w:tcPr>
            <w:tcW w:w="1113"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8分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根据投标人针对本项目实际采购需求制定的服务方案进行评审，方案内容包含①项目实施方案、②驻场运维服务技术方案、③项目组织管理方案、④项目质量保障方案、⑤项目重难点分析。完全满足本项目需求的得8分，每缺少一项的扣1.6分，每项中具有缺陷或不足的扣0.8分，扣完为止。</w:t>
            </w:r>
          </w:p>
          <w:p>
            <w:pPr>
              <w:widowControl/>
              <w:ind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注：缺陷或不足指：①项目名称错误或实施地点区域错误；②虽有响应但与方案内容要求不符未按采购需求针对描述或存在描述内容过于简略、缺失不全</w:t>
            </w:r>
            <w:bookmarkStart w:id="0" w:name="_GoBack"/>
            <w:bookmarkEnd w:id="0"/>
            <w:r>
              <w:rPr>
                <w:rFonts w:hint="eastAsia" w:ascii="仿宋" w:hAnsi="仿宋" w:eastAsia="仿宋" w:cs="仿宋"/>
                <w:color w:val="000000"/>
                <w:kern w:val="0"/>
                <w:sz w:val="24"/>
                <w:szCs w:val="24"/>
                <w:lang w:val="en-US" w:eastAsia="zh-CN" w:bidi="ar"/>
              </w:rPr>
              <w:t>；③表述不清晰、凭空编造或前后矛盾、逻辑混淆错误；④套用其他项目方案或不适用本项目实际情况；⑤存在与本项目无关的内容、不可能实现的夸大情形等情形中的任一种情形。</w:t>
            </w:r>
          </w:p>
          <w:p>
            <w:pPr>
              <w:widowControl/>
              <w:ind w:firstLine="0" w:firstLineChars="0"/>
              <w:jc w:val="left"/>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0" w:hRule="atLeast"/>
        </w:trPr>
        <w:tc>
          <w:tcPr>
            <w:tcW w:w="659" w:type="dxa"/>
            <w:vMerge w:val="continue"/>
            <w:tcBorders>
              <w:left w:val="single" w:color="000000" w:sz="4" w:space="0"/>
              <w:right w:val="single" w:color="000000" w:sz="4" w:space="0"/>
            </w:tcBorders>
            <w:shd w:val="clear" w:color="auto" w:fill="auto"/>
            <w:vAlign w:val="center"/>
          </w:tcPr>
          <w:p>
            <w:pPr>
              <w:ind w:firstLine="420"/>
              <w:jc w:val="center"/>
              <w:rPr>
                <w:rFonts w:hint="eastAsia" w:ascii="仿宋" w:hAnsi="仿宋" w:eastAsia="仿宋" w:cs="仿宋"/>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hint="eastAsia" w:ascii="仿宋" w:hAnsi="仿宋" w:eastAsia="仿宋" w:cs="仿宋"/>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企业实力(</w:t>
            </w: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0"/>
                <w:sz w:val="24"/>
                <w:szCs w:val="24"/>
                <w:lang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8分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供应商</w:t>
            </w:r>
            <w:r>
              <w:rPr>
                <w:rFonts w:hint="eastAsia" w:ascii="仿宋" w:hAnsi="仿宋" w:eastAsia="仿宋" w:cs="仿宋"/>
                <w:color w:val="000000"/>
                <w:kern w:val="0"/>
                <w:sz w:val="24"/>
                <w:szCs w:val="24"/>
                <w:lang w:bidi="ar"/>
              </w:rPr>
              <w:t>能提供信息安全管理体系认证证书、环境管理体系认证证书、质量管理体系认证证书、职业健康安全管理体系认证证书；每项2分，全部提供得</w:t>
            </w:r>
            <w:r>
              <w:rPr>
                <w:rFonts w:hint="eastAsia" w:ascii="仿宋" w:hAnsi="仿宋" w:eastAsia="仿宋" w:cs="仿宋"/>
                <w:color w:val="000000"/>
                <w:kern w:val="0"/>
                <w:sz w:val="24"/>
                <w:szCs w:val="24"/>
                <w:lang w:val="en-US" w:eastAsia="zh-CN" w:bidi="ar"/>
              </w:rPr>
              <w:t>8</w:t>
            </w:r>
            <w:r>
              <w:rPr>
                <w:rFonts w:hint="eastAsia" w:ascii="仿宋" w:hAnsi="仿宋" w:eastAsia="仿宋" w:cs="仿宋"/>
                <w:color w:val="000000"/>
                <w:kern w:val="0"/>
                <w:sz w:val="24"/>
                <w:szCs w:val="24"/>
                <w:lang w:bidi="ar"/>
              </w:rPr>
              <w:t>分。企业资质证书须提供资质证书复印件加盖</w:t>
            </w:r>
            <w:r>
              <w:rPr>
                <w:rFonts w:hint="eastAsia" w:ascii="仿宋" w:hAnsi="仿宋" w:eastAsia="仿宋" w:cs="仿宋"/>
                <w:color w:val="000000"/>
                <w:kern w:val="0"/>
                <w:sz w:val="24"/>
                <w:szCs w:val="24"/>
                <w:lang w:eastAsia="zh-CN" w:bidi="ar"/>
              </w:rPr>
              <w:t>供应商</w:t>
            </w:r>
            <w:r>
              <w:rPr>
                <w:rFonts w:hint="eastAsia" w:ascii="仿宋" w:hAnsi="仿宋" w:eastAsia="仿宋" w:cs="仿宋"/>
                <w:color w:val="000000"/>
                <w:kern w:val="0"/>
                <w:sz w:val="24"/>
                <w:szCs w:val="24"/>
                <w:lang w:bidi="ar"/>
              </w:rPr>
              <w:t>鲜章。</w:t>
            </w:r>
          </w:p>
        </w:tc>
      </w:tr>
      <w:tr>
        <w:tblPrEx>
          <w:tblCellMar>
            <w:top w:w="0" w:type="dxa"/>
            <w:left w:w="108" w:type="dxa"/>
            <w:bottom w:w="0" w:type="dxa"/>
            <w:right w:w="108" w:type="dxa"/>
          </w:tblCellMar>
        </w:tblPrEx>
        <w:trPr>
          <w:trHeight w:val="3220" w:hRule="atLeast"/>
        </w:trPr>
        <w:tc>
          <w:tcPr>
            <w:tcW w:w="659" w:type="dxa"/>
            <w:vMerge w:val="continue"/>
            <w:tcBorders>
              <w:left w:val="single" w:color="000000" w:sz="4" w:space="0"/>
              <w:bottom w:val="single" w:color="000000" w:sz="4" w:space="0"/>
              <w:right w:val="single" w:color="000000" w:sz="4" w:space="0"/>
            </w:tcBorders>
            <w:shd w:val="clear" w:color="auto" w:fill="auto"/>
            <w:vAlign w:val="center"/>
          </w:tcPr>
          <w:p>
            <w:pPr>
              <w:ind w:firstLine="420"/>
              <w:jc w:val="center"/>
              <w:rPr>
                <w:rFonts w:hint="eastAsia" w:ascii="仿宋" w:hAnsi="仿宋" w:eastAsia="仿宋" w:cs="仿宋"/>
                <w:color w:val="000000"/>
                <w:sz w:val="24"/>
                <w:szCs w:val="24"/>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hint="eastAsia" w:ascii="仿宋" w:hAnsi="仿宋" w:eastAsia="仿宋" w:cs="仿宋"/>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售后服务(</w:t>
            </w:r>
            <w:r>
              <w:rPr>
                <w:rFonts w:hint="eastAsia" w:ascii="仿宋" w:hAnsi="仿宋" w:eastAsia="仿宋" w:cs="仿宋"/>
                <w:color w:val="000000"/>
                <w:kern w:val="0"/>
                <w:sz w:val="24"/>
                <w:szCs w:val="24"/>
                <w:lang w:val="en-US" w:eastAsia="zh-CN" w:bidi="ar"/>
              </w:rPr>
              <w:t>7</w:t>
            </w:r>
            <w:r>
              <w:rPr>
                <w:rFonts w:hint="eastAsia" w:ascii="仿宋" w:hAnsi="仿宋" w:eastAsia="仿宋" w:cs="仿宋"/>
                <w:color w:val="000000"/>
                <w:kern w:val="0"/>
                <w:sz w:val="24"/>
                <w:szCs w:val="24"/>
                <w:lang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7分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根据</w:t>
            </w:r>
            <w:r>
              <w:rPr>
                <w:rFonts w:hint="eastAsia" w:ascii="仿宋" w:hAnsi="仿宋" w:eastAsia="仿宋" w:cs="仿宋"/>
                <w:color w:val="000000"/>
                <w:kern w:val="0"/>
                <w:sz w:val="24"/>
                <w:szCs w:val="24"/>
                <w:lang w:val="en-US" w:eastAsia="zh-CN" w:bidi="ar"/>
              </w:rPr>
              <w:t>供应商</w:t>
            </w:r>
            <w:r>
              <w:rPr>
                <w:rFonts w:hint="eastAsia" w:ascii="仿宋" w:hAnsi="仿宋" w:eastAsia="仿宋" w:cs="仿宋"/>
                <w:color w:val="000000"/>
                <w:kern w:val="0"/>
                <w:sz w:val="24"/>
                <w:szCs w:val="24"/>
                <w:lang w:bidi="ar"/>
              </w:rPr>
              <w:t>针对本项目拟定的售后服务方案进行评审，方案内容包含1.服务体系、2.售后服务人员配置情况、3.响应时问、4.售后流程规范、5.故障处理机制等，完全提供上述方案内容得</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分，每缺少一项内容扣</w:t>
            </w: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分，每有一项方案内容不足或存在缺陷扣</w:t>
            </w:r>
            <w:r>
              <w:rPr>
                <w:rFonts w:hint="eastAsia" w:ascii="仿宋" w:hAnsi="仿宋" w:eastAsia="仿宋" w:cs="仿宋"/>
                <w:color w:val="000000"/>
                <w:kern w:val="0"/>
                <w:sz w:val="24"/>
                <w:szCs w:val="24"/>
                <w:lang w:val="en-US" w:eastAsia="zh-CN" w:bidi="ar"/>
              </w:rPr>
              <w:t>0.5</w:t>
            </w:r>
            <w:r>
              <w:rPr>
                <w:rFonts w:hint="eastAsia" w:ascii="仿宋" w:hAnsi="仿宋" w:eastAsia="仿宋" w:cs="仿宋"/>
                <w:color w:val="000000"/>
                <w:kern w:val="0"/>
                <w:sz w:val="24"/>
                <w:szCs w:val="24"/>
                <w:lang w:bidi="ar"/>
              </w:rPr>
              <w:t>分，扣完为止。</w:t>
            </w:r>
          </w:p>
          <w:p>
            <w:pPr>
              <w:pStyle w:val="2"/>
              <w:rPr>
                <w:rFonts w:hint="default"/>
                <w:lang w:val="en-US"/>
              </w:rPr>
            </w:pPr>
            <w:r>
              <w:rPr>
                <w:rFonts w:hint="eastAsia" w:ascii="仿宋" w:hAnsi="仿宋" w:eastAsia="仿宋" w:cs="仿宋"/>
                <w:color w:val="000000"/>
                <w:kern w:val="0"/>
                <w:sz w:val="24"/>
                <w:szCs w:val="24"/>
                <w:lang w:val="en-US" w:eastAsia="zh-CN" w:bidi="ar"/>
              </w:rPr>
              <w:t>供应商在本地设立有售后服务机构或承诺中标后在本地设立售后服务机构的得2分，提供服务机构的证明文件 (房产证明或租赁合同复印件)或承诺函原件，未提供不得分。</w:t>
            </w:r>
          </w:p>
        </w:tc>
      </w:tr>
      <w:tr>
        <w:tblPrEx>
          <w:tblCellMar>
            <w:top w:w="0" w:type="dxa"/>
            <w:left w:w="108" w:type="dxa"/>
            <w:bottom w:w="0" w:type="dxa"/>
            <w:right w:w="108" w:type="dxa"/>
          </w:tblCellMar>
        </w:tblPrEx>
        <w:trPr>
          <w:trHeight w:val="674"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hint="eastAsia" w:ascii="仿宋" w:hAnsi="仿宋" w:eastAsia="仿宋" w:cs="仿宋"/>
                <w:color w:val="000000"/>
                <w:sz w:val="24"/>
                <w:szCs w:val="24"/>
                <w:lang w:val="en-US" w:eastAsia="zh-CN"/>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jc w:val="center"/>
              <w:rPr>
                <w:rFonts w:hint="eastAsia" w:ascii="仿宋" w:hAnsi="仿宋" w:eastAsia="仿宋" w:cs="仿宋"/>
                <w:color w:val="000000"/>
                <w:sz w:val="24"/>
                <w:szCs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类似业绩(</w:t>
            </w: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val="en-US" w:eastAsia="zh-CN" w:bidi="ar"/>
              </w:rPr>
              <w:t>6分</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提供近六个月的类似项目案例证明文件，供货合同中同类型产品，与所投品牌应该一致，否则该项产品业绩不予认可</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每提供一项得2分，最高得6分</w:t>
            </w:r>
            <w:r>
              <w:rPr>
                <w:rFonts w:hint="eastAsia" w:ascii="仿宋" w:hAnsi="仿宋" w:eastAsia="仿宋" w:cs="仿宋"/>
                <w:color w:val="000000"/>
                <w:kern w:val="0"/>
                <w:sz w:val="24"/>
                <w:szCs w:val="24"/>
                <w:lang w:bidi="ar"/>
              </w:rPr>
              <w:t>；类似项目业绩要求提供以下证明材料，不提供或提供的证明材料不符合要求不得分：（1）</w:t>
            </w:r>
            <w:r>
              <w:rPr>
                <w:rFonts w:hint="eastAsia" w:ascii="仿宋" w:hAnsi="仿宋" w:eastAsia="仿宋" w:cs="仿宋"/>
                <w:color w:val="000000"/>
                <w:kern w:val="0"/>
                <w:sz w:val="24"/>
                <w:szCs w:val="24"/>
                <w:lang w:val="en-US" w:eastAsia="zh-CN" w:bidi="ar"/>
              </w:rPr>
              <w:t>中标通知书、</w:t>
            </w:r>
            <w:r>
              <w:rPr>
                <w:rFonts w:hint="eastAsia" w:ascii="仿宋" w:hAnsi="仿宋" w:eastAsia="仿宋" w:cs="仿宋"/>
                <w:color w:val="000000"/>
                <w:kern w:val="0"/>
                <w:sz w:val="24"/>
                <w:szCs w:val="24"/>
                <w:lang w:bidi="ar"/>
              </w:rPr>
              <w:t>合同或协议的关键页复印件（至少含合同首页、合同主要内容、甲乙双方盖章页及签约时间）；（2）至少一份对应的增值税发票复印件</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w:t>
      </w:r>
      <w:r>
        <w:rPr>
          <w:rFonts w:hint="eastAsia" w:ascii="仿宋" w:hAnsi="仿宋" w:eastAsia="仿宋" w:cs="仿宋_GB2312"/>
          <w:color w:val="000000" w:themeColor="text1"/>
          <w:sz w:val="28"/>
          <w:szCs w:val="28"/>
          <w:lang w:eastAsia="zh-CN"/>
          <w14:textFill>
            <w14:solidFill>
              <w14:schemeClr w14:val="tx1"/>
            </w14:solidFill>
          </w14:textFill>
        </w:rPr>
        <w:t>供应商</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w:t>
      </w:r>
      <w:r>
        <w:rPr>
          <w:rFonts w:hint="eastAsia" w:ascii="仿宋" w:hAnsi="仿宋" w:eastAsia="仿宋" w:cs="楷体"/>
          <w:bCs/>
          <w:color w:val="000000" w:themeColor="text1"/>
          <w:sz w:val="28"/>
          <w:szCs w:val="28"/>
          <w:lang w:eastAsia="zh-CN"/>
          <w14:textFill>
            <w14:solidFill>
              <w14:schemeClr w14:val="tx1"/>
            </w14:solidFill>
          </w14:textFill>
        </w:rPr>
        <w:t>供应商</w:t>
      </w:r>
      <w:r>
        <w:rPr>
          <w:rFonts w:hint="eastAsia" w:ascii="仿宋" w:hAnsi="仿宋" w:eastAsia="仿宋" w:cs="楷体"/>
          <w:bCs/>
          <w:color w:val="000000" w:themeColor="text1"/>
          <w:sz w:val="28"/>
          <w:szCs w:val="28"/>
          <w14:textFill>
            <w14:solidFill>
              <w14:schemeClr w14:val="tx1"/>
            </w14:solidFill>
          </w14:textFill>
        </w:rPr>
        <w:t>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2"/>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4"/>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2"/>
              <w:spacing w:line="360" w:lineRule="auto"/>
              <w:rPr>
                <w:rFonts w:ascii="仿宋" w:hAnsi="仿宋" w:eastAsia="仿宋" w:cs="仿宋"/>
                <w:sz w:val="24"/>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4"/>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4"/>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4"/>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p>
      <w:pPr>
        <w:pStyle w:val="10"/>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A405E5FC"/>
    <w:multiLevelType w:val="singleLevel"/>
    <w:tmpl w:val="A405E5FC"/>
    <w:lvl w:ilvl="0" w:tentative="0">
      <w:start w:val="6"/>
      <w:numFmt w:val="decimal"/>
      <w:lvlText w:val="%1."/>
      <w:lvlJc w:val="left"/>
      <w:pPr>
        <w:tabs>
          <w:tab w:val="left" w:pos="312"/>
        </w:tabs>
      </w:pPr>
    </w:lvl>
  </w:abstractNum>
  <w:abstractNum w:abstractNumId="2">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66B2B"/>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2BE"/>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2480"/>
    <w:rsid w:val="00F83907"/>
    <w:rsid w:val="00F953B6"/>
    <w:rsid w:val="00FA2998"/>
    <w:rsid w:val="00FA323F"/>
    <w:rsid w:val="00FA429B"/>
    <w:rsid w:val="00FE6EA1"/>
    <w:rsid w:val="026E270A"/>
    <w:rsid w:val="02E545CF"/>
    <w:rsid w:val="03546191"/>
    <w:rsid w:val="06A707AF"/>
    <w:rsid w:val="07622723"/>
    <w:rsid w:val="079972E3"/>
    <w:rsid w:val="083420ED"/>
    <w:rsid w:val="08681BA6"/>
    <w:rsid w:val="09443CB7"/>
    <w:rsid w:val="098A290C"/>
    <w:rsid w:val="0AA77CCC"/>
    <w:rsid w:val="0B0C10FF"/>
    <w:rsid w:val="0BBF43C3"/>
    <w:rsid w:val="0CD43E9E"/>
    <w:rsid w:val="0CEF7725"/>
    <w:rsid w:val="0F6500AE"/>
    <w:rsid w:val="106C0B1D"/>
    <w:rsid w:val="12174F59"/>
    <w:rsid w:val="15EC41DA"/>
    <w:rsid w:val="19EB6441"/>
    <w:rsid w:val="1BBD6309"/>
    <w:rsid w:val="1C0A7E27"/>
    <w:rsid w:val="1DDF4451"/>
    <w:rsid w:val="1F3F5AEF"/>
    <w:rsid w:val="20B816B5"/>
    <w:rsid w:val="20C52024"/>
    <w:rsid w:val="21044B9D"/>
    <w:rsid w:val="21450C91"/>
    <w:rsid w:val="216E3B1F"/>
    <w:rsid w:val="227C4964"/>
    <w:rsid w:val="254278B2"/>
    <w:rsid w:val="25757946"/>
    <w:rsid w:val="25900E53"/>
    <w:rsid w:val="25E92311"/>
    <w:rsid w:val="27076F72"/>
    <w:rsid w:val="27225F72"/>
    <w:rsid w:val="277C5BA2"/>
    <w:rsid w:val="28042D57"/>
    <w:rsid w:val="288F53F1"/>
    <w:rsid w:val="28FC1071"/>
    <w:rsid w:val="29BB23E3"/>
    <w:rsid w:val="2BD13993"/>
    <w:rsid w:val="2C3E5B4D"/>
    <w:rsid w:val="2DA55FFE"/>
    <w:rsid w:val="2F9D0AAC"/>
    <w:rsid w:val="3075311F"/>
    <w:rsid w:val="313F0BB3"/>
    <w:rsid w:val="31753A2D"/>
    <w:rsid w:val="325B21B4"/>
    <w:rsid w:val="328C6861"/>
    <w:rsid w:val="33641229"/>
    <w:rsid w:val="339577D0"/>
    <w:rsid w:val="34574FF0"/>
    <w:rsid w:val="364113AE"/>
    <w:rsid w:val="36C82C47"/>
    <w:rsid w:val="372B531C"/>
    <w:rsid w:val="37451F91"/>
    <w:rsid w:val="374F686C"/>
    <w:rsid w:val="37BA66DD"/>
    <w:rsid w:val="37C01537"/>
    <w:rsid w:val="383B7831"/>
    <w:rsid w:val="3844628F"/>
    <w:rsid w:val="39296E78"/>
    <w:rsid w:val="39CE723C"/>
    <w:rsid w:val="3A0D7C30"/>
    <w:rsid w:val="3AA773FE"/>
    <w:rsid w:val="3AFB06C4"/>
    <w:rsid w:val="3D285477"/>
    <w:rsid w:val="3E327C16"/>
    <w:rsid w:val="3ED77D2F"/>
    <w:rsid w:val="40143927"/>
    <w:rsid w:val="402819DE"/>
    <w:rsid w:val="4057597D"/>
    <w:rsid w:val="410A0AAD"/>
    <w:rsid w:val="429E3216"/>
    <w:rsid w:val="42C6118B"/>
    <w:rsid w:val="43C31F9B"/>
    <w:rsid w:val="448E25A9"/>
    <w:rsid w:val="44970F9A"/>
    <w:rsid w:val="46250CEB"/>
    <w:rsid w:val="476937DB"/>
    <w:rsid w:val="488147DA"/>
    <w:rsid w:val="493960B2"/>
    <w:rsid w:val="4A3D7EA2"/>
    <w:rsid w:val="4BA650B0"/>
    <w:rsid w:val="4D8E7176"/>
    <w:rsid w:val="4F083992"/>
    <w:rsid w:val="4F37130D"/>
    <w:rsid w:val="50C8395B"/>
    <w:rsid w:val="52102E2E"/>
    <w:rsid w:val="52530863"/>
    <w:rsid w:val="52F21F55"/>
    <w:rsid w:val="531F70F4"/>
    <w:rsid w:val="537668DA"/>
    <w:rsid w:val="54091C4C"/>
    <w:rsid w:val="54ED50CA"/>
    <w:rsid w:val="553C243D"/>
    <w:rsid w:val="59EB6C90"/>
    <w:rsid w:val="5AA224B3"/>
    <w:rsid w:val="5B9B38F3"/>
    <w:rsid w:val="5C3E7830"/>
    <w:rsid w:val="5CAA0423"/>
    <w:rsid w:val="5F5156AC"/>
    <w:rsid w:val="5F97010C"/>
    <w:rsid w:val="5FA15FFE"/>
    <w:rsid w:val="61B52ACC"/>
    <w:rsid w:val="61D04CCF"/>
    <w:rsid w:val="63345F40"/>
    <w:rsid w:val="63D530FA"/>
    <w:rsid w:val="6400742D"/>
    <w:rsid w:val="64B96D77"/>
    <w:rsid w:val="64C17C5F"/>
    <w:rsid w:val="655A0F44"/>
    <w:rsid w:val="65F20792"/>
    <w:rsid w:val="664166AE"/>
    <w:rsid w:val="6660243F"/>
    <w:rsid w:val="66AB0E8B"/>
    <w:rsid w:val="66B04FE3"/>
    <w:rsid w:val="66BA6940"/>
    <w:rsid w:val="67E4410B"/>
    <w:rsid w:val="688C64CE"/>
    <w:rsid w:val="6974517B"/>
    <w:rsid w:val="6A7D3A08"/>
    <w:rsid w:val="6AE07204"/>
    <w:rsid w:val="6B040620"/>
    <w:rsid w:val="6C3E1996"/>
    <w:rsid w:val="6CE05ED1"/>
    <w:rsid w:val="6E0D1551"/>
    <w:rsid w:val="6E201C15"/>
    <w:rsid w:val="6E5042A8"/>
    <w:rsid w:val="6E96154E"/>
    <w:rsid w:val="7118629C"/>
    <w:rsid w:val="721708BC"/>
    <w:rsid w:val="7277650C"/>
    <w:rsid w:val="729624A5"/>
    <w:rsid w:val="73B644A9"/>
    <w:rsid w:val="74404DBF"/>
    <w:rsid w:val="75232716"/>
    <w:rsid w:val="78340796"/>
    <w:rsid w:val="7B6A53AF"/>
    <w:rsid w:val="7C782BF4"/>
    <w:rsid w:val="7DDD09A5"/>
    <w:rsid w:val="7EAF501B"/>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rPr>
      <w:rFonts w:ascii="Times New Roman"/>
    </w:r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annotation text"/>
    <w:basedOn w:val="1"/>
    <w:link w:val="20"/>
    <w:qFormat/>
    <w:uiPriority w:val="0"/>
    <w:pPr>
      <w:jc w:val="left"/>
    </w:pPr>
    <w:rPr>
      <w:sz w:val="18"/>
      <w:szCs w:val="20"/>
    </w:rPr>
  </w:style>
  <w:style w:type="paragraph" w:styleId="6">
    <w:name w:val="Body Text Indent"/>
    <w:basedOn w:val="1"/>
    <w:link w:val="18"/>
    <w:qFormat/>
    <w:uiPriority w:val="0"/>
    <w:pPr>
      <w:spacing w:after="120"/>
      <w:ind w:left="420" w:leftChars="200"/>
    </w:pPr>
    <w:rPr>
      <w:rFonts w:ascii="Calibri" w:hAnsi="Calibri" w:eastAsia="宋体" w:cs="Times New Roman"/>
      <w:lang w:val="zh-CN"/>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next w:val="2"/>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Body Text First Indent"/>
    <w:basedOn w:val="2"/>
    <w:link w:val="21"/>
    <w:unhideWhenUsed/>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3"/>
    <w:link w:val="8"/>
    <w:qFormat/>
    <w:uiPriority w:val="0"/>
    <w:rPr>
      <w:rFonts w:asciiTheme="minorHAnsi" w:hAnsiTheme="minorHAnsi" w:eastAsiaTheme="minorEastAsia" w:cstheme="minorBidi"/>
      <w:kern w:val="2"/>
      <w:sz w:val="18"/>
      <w:szCs w:val="18"/>
    </w:rPr>
  </w:style>
  <w:style w:type="character" w:customStyle="1" w:styleId="17">
    <w:name w:val="页脚 字符"/>
    <w:basedOn w:val="13"/>
    <w:link w:val="7"/>
    <w:qFormat/>
    <w:uiPriority w:val="0"/>
    <w:rPr>
      <w:rFonts w:asciiTheme="minorHAnsi" w:hAnsiTheme="minorHAnsi" w:eastAsiaTheme="minorEastAsia" w:cstheme="minorBidi"/>
      <w:kern w:val="2"/>
      <w:sz w:val="18"/>
      <w:szCs w:val="18"/>
    </w:rPr>
  </w:style>
  <w:style w:type="character" w:customStyle="1" w:styleId="18">
    <w:name w:val="正文文本缩进 字符"/>
    <w:basedOn w:val="13"/>
    <w:link w:val="6"/>
    <w:qFormat/>
    <w:uiPriority w:val="0"/>
    <w:rPr>
      <w:rFonts w:ascii="Calibri" w:hAnsi="Calibri"/>
      <w:kern w:val="2"/>
      <w:sz w:val="21"/>
      <w:szCs w:val="24"/>
      <w:lang w:val="zh-CN"/>
    </w:rPr>
  </w:style>
  <w:style w:type="character" w:customStyle="1" w:styleId="19">
    <w:name w:val="正文文本 字符"/>
    <w:basedOn w:val="13"/>
    <w:link w:val="2"/>
    <w:qFormat/>
    <w:uiPriority w:val="99"/>
    <w:rPr>
      <w:rFonts w:hAnsiTheme="minorHAnsi" w:eastAsiaTheme="minorEastAsia" w:cstheme="minorBidi"/>
      <w:kern w:val="2"/>
      <w:sz w:val="21"/>
      <w:szCs w:val="24"/>
    </w:rPr>
  </w:style>
  <w:style w:type="character" w:customStyle="1" w:styleId="20">
    <w:name w:val="批注文字 字符"/>
    <w:link w:val="5"/>
    <w:qFormat/>
    <w:uiPriority w:val="0"/>
    <w:rPr>
      <w:rFonts w:asciiTheme="minorHAnsi" w:hAnsiTheme="minorHAnsi" w:eastAsiaTheme="minorEastAsia" w:cstheme="minorBidi"/>
      <w:kern w:val="2"/>
      <w:sz w:val="18"/>
    </w:rPr>
  </w:style>
  <w:style w:type="character" w:customStyle="1" w:styleId="21">
    <w:name w:val="正文首行缩进 字符"/>
    <w:basedOn w:val="19"/>
    <w:link w:val="10"/>
    <w:qFormat/>
    <w:uiPriority w:val="99"/>
    <w:rPr>
      <w:rFonts w:hAnsiTheme="minorHAnsi" w:eastAsiaTheme="minorEastAsia" w:cstheme="minorBidi"/>
      <w:kern w:val="2"/>
      <w:sz w:val="21"/>
      <w:szCs w:val="24"/>
    </w:rPr>
  </w:style>
  <w:style w:type="paragraph" w:customStyle="1" w:styleId="22">
    <w:name w:val="p15"/>
    <w:basedOn w:val="1"/>
    <w:qFormat/>
    <w:uiPriority w:val="0"/>
    <w:pPr>
      <w:widowControl/>
    </w:pPr>
    <w:rPr>
      <w:rFonts w:ascii="Calibri" w:cs="宋体"/>
      <w:szCs w:val="21"/>
    </w:rPr>
  </w:style>
  <w:style w:type="character" w:customStyle="1" w:styleId="23">
    <w:name w:val="font11"/>
    <w:basedOn w:val="13"/>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3"/>
    <w:qFormat/>
    <w:uiPriority w:val="0"/>
    <w:rPr>
      <w:rFonts w:hint="eastAsia" w:ascii="微软雅黑" w:hAnsi="微软雅黑" w:eastAsia="微软雅黑" w:cs="微软雅黑"/>
      <w:color w:val="000000"/>
      <w:sz w:val="21"/>
      <w:szCs w:val="21"/>
      <w:u w:val="none"/>
    </w:rPr>
  </w:style>
  <w:style w:type="character" w:customStyle="1" w:styleId="25">
    <w:name w:val="font31"/>
    <w:basedOn w:val="13"/>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1184</Words>
  <Characters>6752</Characters>
  <Lines>56</Lines>
  <Paragraphs>15</Paragraphs>
  <TotalTime>2</TotalTime>
  <ScaleCrop>false</ScaleCrop>
  <LinksUpToDate>false</LinksUpToDate>
  <CharactersWithSpaces>7921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隆道-01</dc:creator>
  <cp:lastModifiedBy>起点</cp:lastModifiedBy>
  <cp:lastPrinted>2023-11-17T07:23:00Z</cp:lastPrinted>
  <dcterms:modified xsi:type="dcterms:W3CDTF">2023-11-20T06:49:17Z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9FEFD553B01C49D39C1E52E4CC8CEA6B_13</vt:lpwstr>
  </property>
</Properties>
</file>