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红外线报警设备及心理咨询门禁</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4"/>
        <w:rPr>
          <w:rFonts w:ascii="仿宋" w:hAnsi="仿宋" w:eastAsia="仿宋"/>
        </w:rPr>
      </w:pPr>
    </w:p>
    <w:p>
      <w:pPr>
        <w:pStyle w:val="4"/>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4"/>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因四川省精神医学中心神经调控开展临床业务需求，需要采购</w:t>
      </w:r>
      <w:r>
        <w:rPr>
          <w:rFonts w:hint="eastAsia" w:ascii="仿宋" w:hAnsi="仿宋" w:eastAsia="仿宋" w:cstheme="minorEastAsia"/>
          <w:color w:val="000000" w:themeColor="text1"/>
          <w:sz w:val="28"/>
          <w:szCs w:val="28"/>
          <w:lang w:val="en-US" w:eastAsia="zh-CN"/>
          <w14:textFill>
            <w14:solidFill>
              <w14:schemeClr w14:val="tx1"/>
            </w14:solidFill>
          </w14:textFill>
        </w:rPr>
        <w:t>1套红外线报警设备及2套心理咨询门禁。</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13</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13</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包一：</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红外线报警设备3</w:t>
      </w:r>
      <w:r>
        <w:rPr>
          <w:rFonts w:hint="eastAsia" w:ascii="仿宋" w:hAnsi="仿宋" w:eastAsia="仿宋" w:cstheme="minorEastAsia"/>
          <w:color w:val="000000" w:themeColor="text1"/>
          <w:sz w:val="28"/>
          <w:szCs w:val="28"/>
          <w:u w:val="single"/>
          <w14:textFill>
            <w14:solidFill>
              <w14:schemeClr w14:val="tx1"/>
            </w14:solidFill>
          </w14:textFill>
        </w:rPr>
        <w:t>万元；包二：</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心理咨询门禁3</w:t>
      </w:r>
      <w:r>
        <w:rPr>
          <w:rFonts w:hint="eastAsia" w:ascii="仿宋" w:hAnsi="仿宋" w:eastAsia="仿宋" w:cstheme="minorEastAsia"/>
          <w:color w:val="000000" w:themeColor="text1"/>
          <w:sz w:val="28"/>
          <w:szCs w:val="28"/>
          <w:u w:val="single"/>
          <w14:textFill>
            <w14:solidFill>
              <w14:schemeClr w14:val="tx1"/>
            </w14:solidFill>
          </w14:textFill>
        </w:rPr>
        <w:t xml:space="preserve">万 </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每个包</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1.12 </w:t>
      </w:r>
      <w:r>
        <w:rPr>
          <w:rFonts w:hint="eastAsia" w:ascii="仿宋" w:hAnsi="仿宋" w:eastAsia="仿宋" w:cstheme="minorEastAsia"/>
          <w:color w:val="000000" w:themeColor="text1"/>
          <w:sz w:val="28"/>
          <w:szCs w:val="28"/>
          <w14:textFill>
            <w14:solidFill>
              <w14:schemeClr w14:val="tx1"/>
            </w14:solidFill>
          </w14:textFill>
        </w:rPr>
        <w:t>项目</w:t>
      </w:r>
      <w:r>
        <w:rPr>
          <w:rFonts w:hint="eastAsia" w:ascii="仿宋" w:hAnsi="仿宋" w:eastAsia="仿宋" w:cstheme="minorEastAsia"/>
          <w:color w:val="000000" w:themeColor="text1"/>
          <w:sz w:val="28"/>
          <w:szCs w:val="28"/>
          <w:lang w:val="en-US" w:eastAsia="zh-CN"/>
          <w14:textFill>
            <w14:solidFill>
              <w14:schemeClr w14:val="tx1"/>
            </w14:solidFill>
          </w14:textFill>
        </w:rPr>
        <w:t>包个数及限价</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2个包，每个包拟成交一名供应商，不接受联合体投标。</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46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包号</w:t>
            </w:r>
          </w:p>
        </w:tc>
        <w:tc>
          <w:tcPr>
            <w:tcW w:w="2464"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设备名称</w:t>
            </w:r>
          </w:p>
        </w:tc>
        <w:tc>
          <w:tcPr>
            <w:tcW w:w="1704" w:type="dxa"/>
          </w:tcPr>
          <w:p>
            <w:pPr>
              <w:jc w:val="center"/>
              <w:rPr>
                <w:rFonts w:ascii="仿宋" w:hAnsi="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采购预算/限高价（总价）</w:t>
            </w:r>
          </w:p>
        </w:tc>
        <w:tc>
          <w:tcPr>
            <w:tcW w:w="1704"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数量（单位）</w:t>
            </w:r>
          </w:p>
        </w:tc>
        <w:tc>
          <w:tcPr>
            <w:tcW w:w="1704" w:type="dxa"/>
          </w:tcPr>
          <w:p>
            <w:pPr>
              <w:jc w:val="center"/>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是否属于医疗器械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包一</w:t>
            </w:r>
          </w:p>
        </w:tc>
        <w:tc>
          <w:tcPr>
            <w:tcW w:w="2464" w:type="dxa"/>
          </w:tcPr>
          <w:p>
            <w:pPr>
              <w:jc w:val="center"/>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红外线报警设备</w:t>
            </w:r>
          </w:p>
        </w:tc>
        <w:tc>
          <w:tcPr>
            <w:tcW w:w="1704" w:type="dxa"/>
          </w:tcPr>
          <w:p>
            <w:pPr>
              <w:jc w:val="center"/>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3万</w:t>
            </w:r>
          </w:p>
        </w:tc>
        <w:tc>
          <w:tcPr>
            <w:tcW w:w="1704" w:type="dxa"/>
          </w:tcPr>
          <w:p>
            <w:pPr>
              <w:jc w:val="center"/>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1套</w:t>
            </w:r>
          </w:p>
        </w:tc>
        <w:tc>
          <w:tcPr>
            <w:tcW w:w="1704" w:type="dxa"/>
          </w:tcPr>
          <w:p>
            <w:pPr>
              <w:jc w:val="center"/>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43"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包二</w:t>
            </w:r>
          </w:p>
        </w:tc>
        <w:tc>
          <w:tcPr>
            <w:tcW w:w="2464" w:type="dxa"/>
          </w:tcPr>
          <w:p>
            <w:pPr>
              <w:jc w:val="center"/>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心理咨询门禁</w:t>
            </w:r>
          </w:p>
        </w:tc>
        <w:tc>
          <w:tcPr>
            <w:tcW w:w="1704" w:type="dxa"/>
          </w:tcPr>
          <w:p>
            <w:pPr>
              <w:jc w:val="center"/>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万</w:t>
            </w:r>
          </w:p>
        </w:tc>
        <w:tc>
          <w:tcPr>
            <w:tcW w:w="1704" w:type="dxa"/>
          </w:tcPr>
          <w:p>
            <w:pPr>
              <w:jc w:val="center"/>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2套</w:t>
            </w:r>
          </w:p>
        </w:tc>
        <w:tc>
          <w:tcPr>
            <w:tcW w:w="1704" w:type="dxa"/>
          </w:tcPr>
          <w:p>
            <w:pPr>
              <w:jc w:val="center"/>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否</w:t>
            </w:r>
          </w:p>
        </w:tc>
      </w:tr>
    </w:tbl>
    <w:p>
      <w:pPr>
        <w:jc w:val="left"/>
        <w:rPr>
          <w:rFonts w:ascii="仿宋" w:hAnsi="仿宋" w:eastAsia="仿宋" w:cstheme="minorEastAsia"/>
          <w:color w:val="000000" w:themeColor="text1"/>
          <w:sz w:val="28"/>
          <w:szCs w:val="28"/>
          <w14:textFill>
            <w14:solidFill>
              <w14:schemeClr w14:val="tx1"/>
            </w14:solidFill>
          </w14:textFill>
        </w:rPr>
      </w:pP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4"/>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9"/>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8"/>
        <w:spacing w:before="0" w:beforeAutospacing="0" w:after="0" w:afterAutospacing="0"/>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pPr>
        <w:pStyle w:val="8"/>
        <w:spacing w:before="0" w:beforeAutospacing="0" w:after="0" w:afterAutospacing="0"/>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8"/>
        <w:ind w:firstLine="562" w:firstLineChars="200"/>
        <w:rPr>
          <w:rFonts w:ascii="仿宋" w:hAnsi="仿宋" w:eastAsia="仿宋"/>
          <w:b/>
          <w:color w:val="000000"/>
          <w:sz w:val="28"/>
          <w:szCs w:val="27"/>
        </w:rPr>
      </w:pPr>
      <w:r>
        <w:rPr>
          <w:rFonts w:hint="eastAsia" w:ascii="仿宋" w:hAnsi="仿宋" w:eastAsia="仿宋"/>
          <w:b/>
          <w:color w:val="000000"/>
          <w:sz w:val="28"/>
          <w:szCs w:val="27"/>
        </w:rPr>
        <w:t>5.2技术参数</w:t>
      </w:r>
    </w:p>
    <w:p>
      <w:pPr>
        <w:pStyle w:val="8"/>
        <w:ind w:firstLine="560" w:firstLineChars="200"/>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spacing w:line="276" w:lineRule="auto"/>
        <w:rPr>
          <w:color w:val="000000"/>
          <w:kern w:val="0"/>
          <w:szCs w:val="21"/>
        </w:rPr>
      </w:pPr>
      <w:r>
        <w:rPr>
          <w:rFonts w:hint="eastAsia" w:ascii="仿宋" w:hAnsi="仿宋" w:eastAsia="仿宋" w:cs="仿宋"/>
          <w:b/>
          <w:spacing w:val="1"/>
          <w:sz w:val="28"/>
        </w:rPr>
        <w:t>包一（</w:t>
      </w:r>
      <w:r>
        <w:rPr>
          <w:rFonts w:hint="eastAsia" w:ascii="仿宋" w:hAnsi="仿宋" w:eastAsia="仿宋" w:cs="仿宋"/>
          <w:b/>
          <w:spacing w:val="1"/>
          <w:sz w:val="28"/>
          <w:lang w:val="en-US" w:eastAsia="zh-CN"/>
        </w:rPr>
        <w:t>红外线报警设备</w:t>
      </w:r>
      <w:r>
        <w:rPr>
          <w:rFonts w:hint="eastAsia" w:ascii="仿宋" w:hAnsi="仿宋" w:eastAsia="仿宋" w:cs="仿宋"/>
          <w:b/>
          <w:spacing w:val="1"/>
          <w:sz w:val="28"/>
        </w:rPr>
        <w:t>）参数：</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一、报警主机：</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1、自带板载有线防区≥8个，可扩展防区≥560个；</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2、支持两条485总线输出，最多支持接入70个设备，每个设备最多接入8个防区；</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3、每条485总线可达1.2Km,手牵手总线拓扑;485总线长可扩展9.6KM:</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4、总线485信号支持远过RS485双向半双工的光端机传输;</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5、支持通过网络和串口通讯方式上传到接软件;</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6、支持4个独立的以太网按中心;</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7、支持短信通知,支持8个短信号码;</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8、支持电话通知，支持8个用户电话号码和3个独立的中心接警号码: 支持Contact ID protocol协议;</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9、支持250条CID报告缓存:</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10、支持1000条报警件记录，1000条操作事件和理操作记录;</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11、具备8个LCD键盘，包括1个主键盘和7个从键盘;</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12、具备8个健盘分区管理:</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13、具备设备、防区名称汉字任意更改，防区最多支持7个汉字;</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14、支持接入串口打印机;</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15、具备定时布撒防功能，每个健盘支持6组定时布撒防功能，共48组定时布撒防时间:</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16、具备主机防拆报警功能;</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17、支持129个密码，1个安装员密码、每个键盘16个用户密码</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18、具备外置蓄电池，主辅电源可自动切换:</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19、具备1路继电器输出，最多可扩展4096个联动继电器或LED输出:</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20、具备配置工具客户端升级(R5232数据升级)，支持配置工具客户端对主机编程。可通过IP、R5232方式配置参数:；</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二、红外光栅：</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1、具备遮断任意两束红外线时，即发出有线/无线报警信号</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2、具有防剪、防拆功能</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3、具备防水等级不低于IP55</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4、外壳主体由金属和塑料组成</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5、具备安装固定后：栅栏接收端和发射端均可土175°旋转</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6、具备防干扰设计</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7、光束≥4束</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8、产品高度≥70cm</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9、红外光源：940nm±20nm</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10、感应速度：快于或等于100ms</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三、双防区模块</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四、声光报警器</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1、具备中文提示音：在报警触发时提示（例如危险，请勿攀爬）</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五、专用电源</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六、现场勘查</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需求清单数量为需求科室提交的需求量，完成该项目需要的报警主机、红外光栅及配套的专用电源、安装辅料及安装人工费用都需要供应商现场进行勘察统计。根据勘察统计情况，在投标时报出完成该项目需要的报警主机、红外光栅及配套的专用电源等具体数量。若供应商在勘察统计后投标完成并中标，在后期安装中发现投标数量不足，则供应商需要自行承担，并完成该项目的安装。即所有的费用都包含在供应商本次投标报价中，采购人将不再支付其他任何费用。</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需求清单：</w:t>
      </w:r>
    </w:p>
    <w:tbl>
      <w:tblPr>
        <w:tblStyle w:val="10"/>
        <w:tblW w:w="8136" w:type="dxa"/>
        <w:jc w:val="center"/>
        <w:tblLayout w:type="autofit"/>
        <w:tblCellMar>
          <w:top w:w="0" w:type="dxa"/>
          <w:left w:w="108" w:type="dxa"/>
          <w:bottom w:w="0" w:type="dxa"/>
          <w:right w:w="108" w:type="dxa"/>
        </w:tblCellMar>
      </w:tblPr>
      <w:tblGrid>
        <w:gridCol w:w="990"/>
        <w:gridCol w:w="2939"/>
        <w:gridCol w:w="1949"/>
        <w:gridCol w:w="2258"/>
      </w:tblGrid>
      <w:tr>
        <w:tblPrEx>
          <w:tblCellMar>
            <w:top w:w="0" w:type="dxa"/>
            <w:left w:w="108" w:type="dxa"/>
            <w:bottom w:w="0" w:type="dxa"/>
            <w:right w:w="108" w:type="dxa"/>
          </w:tblCellMar>
        </w:tblPrEx>
        <w:trPr>
          <w:trHeight w:val="265"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9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设备名称</w:t>
            </w:r>
          </w:p>
        </w:tc>
        <w:tc>
          <w:tcPr>
            <w:tcW w:w="19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需求数量</w:t>
            </w:r>
          </w:p>
        </w:tc>
        <w:tc>
          <w:tcPr>
            <w:tcW w:w="22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汇总数量</w:t>
            </w:r>
          </w:p>
        </w:tc>
      </w:tr>
      <w:tr>
        <w:tblPrEx>
          <w:tblCellMar>
            <w:top w:w="0" w:type="dxa"/>
            <w:left w:w="108" w:type="dxa"/>
            <w:bottom w:w="0" w:type="dxa"/>
            <w:right w:w="108" w:type="dxa"/>
          </w:tblCellMar>
        </w:tblPrEx>
        <w:trPr>
          <w:trHeight w:val="265" w:hRule="atLeast"/>
          <w:jc w:val="center"/>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9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报警主机</w:t>
            </w:r>
          </w:p>
        </w:tc>
        <w:tc>
          <w:tcPr>
            <w:tcW w:w="19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CellMar>
            <w:top w:w="0" w:type="dxa"/>
            <w:left w:w="108" w:type="dxa"/>
            <w:bottom w:w="0" w:type="dxa"/>
            <w:right w:w="108" w:type="dxa"/>
          </w:tblCellMar>
        </w:tblPrEx>
        <w:trPr>
          <w:trHeight w:val="265" w:hRule="atLeast"/>
          <w:jc w:val="center"/>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9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红外光栅</w:t>
            </w:r>
          </w:p>
        </w:tc>
        <w:tc>
          <w:tcPr>
            <w:tcW w:w="19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28</w:t>
            </w:r>
          </w:p>
        </w:tc>
        <w:tc>
          <w:tcPr>
            <w:tcW w:w="2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28</w:t>
            </w:r>
          </w:p>
        </w:tc>
      </w:tr>
      <w:tr>
        <w:tblPrEx>
          <w:tblCellMar>
            <w:top w:w="0" w:type="dxa"/>
            <w:left w:w="108" w:type="dxa"/>
            <w:bottom w:w="0" w:type="dxa"/>
            <w:right w:w="108" w:type="dxa"/>
          </w:tblCellMar>
        </w:tblPrEx>
        <w:trPr>
          <w:trHeight w:val="265" w:hRule="atLeast"/>
          <w:jc w:val="center"/>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9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双防区模块</w:t>
            </w:r>
          </w:p>
        </w:tc>
        <w:tc>
          <w:tcPr>
            <w:tcW w:w="19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2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r>
      <w:tr>
        <w:tblPrEx>
          <w:tblCellMar>
            <w:top w:w="0" w:type="dxa"/>
            <w:left w:w="108" w:type="dxa"/>
            <w:bottom w:w="0" w:type="dxa"/>
            <w:right w:w="108" w:type="dxa"/>
          </w:tblCellMar>
        </w:tblPrEx>
        <w:trPr>
          <w:trHeight w:val="265" w:hRule="atLeast"/>
          <w:jc w:val="center"/>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9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声光报警器</w:t>
            </w:r>
          </w:p>
        </w:tc>
        <w:tc>
          <w:tcPr>
            <w:tcW w:w="19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2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r>
      <w:tr>
        <w:tblPrEx>
          <w:tblCellMar>
            <w:top w:w="0" w:type="dxa"/>
            <w:left w:w="108" w:type="dxa"/>
            <w:bottom w:w="0" w:type="dxa"/>
            <w:right w:w="108" w:type="dxa"/>
          </w:tblCellMar>
        </w:tblPrEx>
        <w:trPr>
          <w:trHeight w:val="265" w:hRule="atLeast"/>
          <w:jc w:val="center"/>
        </w:trPr>
        <w:tc>
          <w:tcPr>
            <w:tcW w:w="9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9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专用电源</w:t>
            </w:r>
          </w:p>
        </w:tc>
        <w:tc>
          <w:tcPr>
            <w:tcW w:w="19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2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bl>
    <w:p>
      <w:pPr>
        <w:spacing w:line="276" w:lineRule="auto"/>
        <w:rPr>
          <w:rFonts w:hint="eastAsia" w:ascii="仿宋" w:hAnsi="仿宋" w:eastAsia="仿宋" w:cs="仿宋"/>
          <w:b/>
          <w:spacing w:val="1"/>
          <w:sz w:val="28"/>
          <w:szCs w:val="28"/>
        </w:rPr>
      </w:pPr>
    </w:p>
    <w:p>
      <w:pPr>
        <w:spacing w:line="276" w:lineRule="auto"/>
        <w:rPr>
          <w:rFonts w:ascii="仿宋" w:hAnsi="仿宋" w:eastAsia="仿宋" w:cs="仿宋"/>
          <w:b/>
          <w:spacing w:val="1"/>
          <w:sz w:val="28"/>
          <w:szCs w:val="28"/>
        </w:rPr>
      </w:pPr>
      <w:r>
        <w:rPr>
          <w:rFonts w:hint="eastAsia" w:ascii="仿宋" w:hAnsi="仿宋" w:eastAsia="仿宋" w:cs="仿宋"/>
          <w:b/>
          <w:spacing w:val="1"/>
          <w:sz w:val="28"/>
          <w:szCs w:val="28"/>
        </w:rPr>
        <w:t>包二（</w:t>
      </w:r>
      <w:r>
        <w:rPr>
          <w:rFonts w:hint="eastAsia" w:ascii="仿宋" w:hAnsi="仿宋" w:eastAsia="仿宋" w:cs="仿宋"/>
          <w:b/>
          <w:spacing w:val="1"/>
          <w:sz w:val="28"/>
          <w:szCs w:val="28"/>
          <w:lang w:val="en-US" w:eastAsia="zh-CN"/>
        </w:rPr>
        <w:t>心理咨询门禁</w:t>
      </w:r>
      <w:r>
        <w:rPr>
          <w:rFonts w:hint="eastAsia" w:ascii="仿宋" w:hAnsi="仿宋" w:eastAsia="仿宋" w:cs="仿宋"/>
          <w:b/>
          <w:spacing w:val="1"/>
          <w:sz w:val="28"/>
          <w:szCs w:val="28"/>
        </w:rPr>
        <w:t>）参数：</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一、门禁主机：</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金属防水外壳，可户外安装使用；</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支持多种开门方式(刷卡开门、密码开门、卡加密码开门)；</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具备两组信号独立输出；</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具备一组出门按钮接口，一组门铃接口；</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具备一组WG26接口，可外接WG读卡器。</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存储容量：≥4000个</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读卡距离：2-10cm</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读卡类型：MFI卡或EM卡</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二、玻璃门：</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玻璃：钢化玻璃。</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厚度：≥12mm。</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边缘采用不锈钢包边修饰。</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三、电磁锁：</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承受拉力≥280KG</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四、门禁专用电源</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五、地弹簧</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开启角度90°左右不自动关闭</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六、玻璃门专用拉手</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七、现场勘查</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需求清单数量为需求科室提交的需求量，完成该项目安装需要的门禁主机及配套的门禁专用电源、闭门器、磁力锁、安装辅料及安装人工费用都需要供应商现场进行勘察统计。根据勘察统计情况，在投标时报出完成该项目需要门禁主机及配套的门禁专用电源、闭门器、磁力锁等具体数量。若供应商在勘察统计后投标完成并中标，在后期安装中发现投标数量不足，则供应商需要自行承担增加费用，完成该项目安装。即所有的费用都包含在供应商本次投标报价中，采购人将不再支付其他任何费用。</w:t>
      </w:r>
    </w:p>
    <w:p>
      <w:pPr>
        <w:spacing w:line="276"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需求清单：</w:t>
      </w:r>
    </w:p>
    <w:tbl>
      <w:tblPr>
        <w:tblStyle w:val="10"/>
        <w:tblW w:w="8247" w:type="dxa"/>
        <w:jc w:val="center"/>
        <w:tblLayout w:type="autofit"/>
        <w:tblCellMar>
          <w:top w:w="0" w:type="dxa"/>
          <w:left w:w="108" w:type="dxa"/>
          <w:bottom w:w="0" w:type="dxa"/>
          <w:right w:w="108" w:type="dxa"/>
        </w:tblCellMar>
      </w:tblPr>
      <w:tblGrid>
        <w:gridCol w:w="785"/>
        <w:gridCol w:w="2332"/>
        <w:gridCol w:w="1546"/>
        <w:gridCol w:w="1792"/>
        <w:gridCol w:w="1792"/>
      </w:tblGrid>
      <w:tr>
        <w:tblPrEx>
          <w:tblCellMar>
            <w:top w:w="0" w:type="dxa"/>
            <w:left w:w="108" w:type="dxa"/>
            <w:bottom w:w="0" w:type="dxa"/>
            <w:right w:w="108" w:type="dxa"/>
          </w:tblCellMar>
        </w:tblPrEx>
        <w:trPr>
          <w:trHeight w:val="255"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3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设备名称</w:t>
            </w:r>
          </w:p>
        </w:tc>
        <w:tc>
          <w:tcPr>
            <w:tcW w:w="15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需求数量</w:t>
            </w:r>
          </w:p>
        </w:tc>
        <w:tc>
          <w:tcPr>
            <w:tcW w:w="17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汇总数量</w:t>
            </w:r>
          </w:p>
        </w:tc>
        <w:tc>
          <w:tcPr>
            <w:tcW w:w="17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r>
      <w:tr>
        <w:tblPrEx>
          <w:tblCellMar>
            <w:top w:w="0" w:type="dxa"/>
            <w:left w:w="108" w:type="dxa"/>
            <w:bottom w:w="0" w:type="dxa"/>
            <w:right w:w="108" w:type="dxa"/>
          </w:tblCellMar>
        </w:tblPrEx>
        <w:trPr>
          <w:trHeight w:val="255" w:hRule="atLeast"/>
          <w:jc w:val="center"/>
        </w:trPr>
        <w:tc>
          <w:tcPr>
            <w:tcW w:w="7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3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门禁主机</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r>
      <w:tr>
        <w:tblPrEx>
          <w:tblCellMar>
            <w:top w:w="0" w:type="dxa"/>
            <w:left w:w="108" w:type="dxa"/>
            <w:bottom w:w="0" w:type="dxa"/>
            <w:right w:w="108" w:type="dxa"/>
          </w:tblCellMar>
        </w:tblPrEx>
        <w:trPr>
          <w:trHeight w:val="255" w:hRule="atLeast"/>
          <w:jc w:val="center"/>
        </w:trPr>
        <w:tc>
          <w:tcPr>
            <w:tcW w:w="7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3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玻璃门</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8.5</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8.5</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p>
        </w:tc>
      </w:tr>
      <w:tr>
        <w:tblPrEx>
          <w:tblCellMar>
            <w:top w:w="0" w:type="dxa"/>
            <w:left w:w="108" w:type="dxa"/>
            <w:bottom w:w="0" w:type="dxa"/>
            <w:right w:w="108" w:type="dxa"/>
          </w:tblCellMar>
        </w:tblPrEx>
        <w:trPr>
          <w:trHeight w:val="255" w:hRule="atLeast"/>
          <w:jc w:val="center"/>
        </w:trPr>
        <w:tc>
          <w:tcPr>
            <w:tcW w:w="7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3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电磁锁</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套</w:t>
            </w:r>
          </w:p>
        </w:tc>
      </w:tr>
      <w:tr>
        <w:tblPrEx>
          <w:tblCellMar>
            <w:top w:w="0" w:type="dxa"/>
            <w:left w:w="108" w:type="dxa"/>
            <w:bottom w:w="0" w:type="dxa"/>
            <w:right w:w="108" w:type="dxa"/>
          </w:tblCellMar>
        </w:tblPrEx>
        <w:trPr>
          <w:trHeight w:val="255" w:hRule="atLeast"/>
          <w:jc w:val="center"/>
        </w:trPr>
        <w:tc>
          <w:tcPr>
            <w:tcW w:w="7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3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门禁专用电源</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r>
      <w:tr>
        <w:tblPrEx>
          <w:tblCellMar>
            <w:top w:w="0" w:type="dxa"/>
            <w:left w:w="108" w:type="dxa"/>
            <w:bottom w:w="0" w:type="dxa"/>
            <w:right w:w="108" w:type="dxa"/>
          </w:tblCellMar>
        </w:tblPrEx>
        <w:trPr>
          <w:trHeight w:val="255" w:hRule="atLeast"/>
          <w:jc w:val="center"/>
        </w:trPr>
        <w:tc>
          <w:tcPr>
            <w:tcW w:w="7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23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玻璃门专用拉手</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对</w:t>
            </w:r>
          </w:p>
        </w:tc>
      </w:tr>
      <w:tr>
        <w:tblPrEx>
          <w:tblCellMar>
            <w:top w:w="0" w:type="dxa"/>
            <w:left w:w="108" w:type="dxa"/>
            <w:bottom w:w="0" w:type="dxa"/>
            <w:right w:w="108" w:type="dxa"/>
          </w:tblCellMar>
        </w:tblPrEx>
        <w:trPr>
          <w:trHeight w:val="255" w:hRule="atLeast"/>
          <w:jc w:val="center"/>
        </w:trPr>
        <w:tc>
          <w:tcPr>
            <w:tcW w:w="7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23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地弹簧</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7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对</w:t>
            </w:r>
          </w:p>
        </w:tc>
      </w:tr>
    </w:tbl>
    <w:p>
      <w:pPr>
        <w:pStyle w:val="4"/>
        <w:spacing w:line="360" w:lineRule="auto"/>
        <w:rPr>
          <w:rFonts w:hint="eastAsia" w:ascii="仿宋" w:hAnsi="仿宋" w:eastAsia="仿宋" w:cs="仿宋"/>
          <w:bCs/>
          <w:sz w:val="28"/>
          <w:szCs w:val="28"/>
        </w:rPr>
      </w:pPr>
    </w:p>
    <w:p>
      <w:pPr>
        <w:pStyle w:val="4"/>
        <w:spacing w:line="360" w:lineRule="auto"/>
        <w:rPr>
          <w:rFonts w:ascii="仿宋" w:hAnsi="仿宋" w:eastAsia="仿宋" w:cs="仿宋"/>
          <w:b/>
          <w:spacing w:val="1"/>
          <w:sz w:val="28"/>
          <w:highlight w:val="none"/>
        </w:rPr>
      </w:pPr>
      <w:r>
        <w:rPr>
          <w:rFonts w:hint="eastAsia" w:ascii="仿宋" w:hAnsi="仿宋" w:eastAsia="仿宋" w:cs="仿宋"/>
          <w:bCs/>
          <w:sz w:val="28"/>
          <w:szCs w:val="28"/>
        </w:rPr>
        <w:t>▲</w:t>
      </w: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p>
    <w:p>
      <w:pPr>
        <w:pStyle w:val="4"/>
        <w:spacing w:line="360" w:lineRule="auto"/>
        <w:rPr>
          <w:rFonts w:ascii="仿宋" w:hAnsi="仿宋" w:eastAsia="仿宋" w:cs="仿宋"/>
          <w:b/>
          <w:spacing w:val="1"/>
          <w:sz w:val="28"/>
          <w:highlight w:val="none"/>
        </w:rPr>
      </w:pPr>
      <w:r>
        <w:rPr>
          <w:rFonts w:hint="eastAsia" w:ascii="仿宋" w:hAnsi="仿宋" w:eastAsia="仿宋"/>
          <w:color w:val="000000"/>
          <w:sz w:val="28"/>
          <w:szCs w:val="27"/>
          <w:highlight w:val="none"/>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5.3.3交货时间：合同签订后</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个日内，成交供应商须将所有货物运抵现场安装调试完毕并交付采购人验收，具体时间可由双方在合同中约定。</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5.3.4由于成交供应商不能交付货物或逾期交付货物而违约的，除应及时交足货物外，应向甲方偿付逾期交货部分货款总额的千分之三/天的违约金；逾期交货超过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5.3.5交货地点：四川省精神医学中心。</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5.3.6售后服务（售后服务涉及费用均包含在投标人的投标报价中）：</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a.送货上门、安装、调试，并试运行。</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b.提供培训。保证受训人员能熟练操作，并对该设备能进行日常维护，如未达到，医院有权延后支付合同所约定之付款。</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c.如货物在质保期内出现质量问题，投标人须在接到通知后2 小时内响应，24 小时内到场维修，或以合同约定为准，并承担相关费用；如质保期内货物经投标人两次维修仍不能达到国家相关质量标准，采购人有权更换全新货物、退货并追究投标人违约责任。</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d.维修期间，根据采购人需要，提供备用设备。</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e.质保期不低于3年（合同签订后采购人出具验收报告之日起），范围：整机含所有部件（质保期内涉及维修、产品更换、人工费用等一切费用包含在此次报价中）。</w:t>
      </w:r>
    </w:p>
    <w:p>
      <w:pPr>
        <w:pStyle w:val="8"/>
        <w:rPr>
          <w:rFonts w:ascii="仿宋" w:hAnsi="仿宋" w:eastAsia="仿宋"/>
          <w:color w:val="000000"/>
          <w:sz w:val="28"/>
          <w:szCs w:val="27"/>
          <w:highlight w:val="none"/>
        </w:rPr>
      </w:pPr>
      <w:r>
        <w:rPr>
          <w:rFonts w:hint="eastAsia" w:ascii="仿宋" w:hAnsi="仿宋" w:eastAsia="仿宋"/>
          <w:color w:val="000000"/>
          <w:sz w:val="28"/>
          <w:szCs w:val="27"/>
          <w:highlight w:val="none"/>
        </w:rPr>
        <w:t>5.3.7验收：成交供应商与采购人将严格按照《财政部关于进一步加强政府采购需求和履约验收管理的指导意见》(财库〔2016〕205号)的要求与各设备验收内容及标准进行验收。</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p>
      <w:pPr>
        <w:pStyle w:val="4"/>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包一：</w:t>
      </w:r>
    </w:p>
    <w:tbl>
      <w:tblPr>
        <w:tblStyle w:val="10"/>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序号</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评分因素及权重</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评分指标</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分值</w:t>
            </w:r>
          </w:p>
        </w:tc>
        <w:tc>
          <w:tcPr>
            <w:tcW w:w="2065"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评分标准</w:t>
            </w:r>
          </w:p>
        </w:tc>
        <w:tc>
          <w:tcPr>
            <w:tcW w:w="1117" w:type="pct"/>
            <w:vAlign w:val="center"/>
          </w:tcPr>
          <w:p>
            <w:pPr>
              <w:wordWrap w:val="0"/>
              <w:jc w:val="center"/>
              <w:rPr>
                <w:rFonts w:ascii="仿宋" w:hAnsi="仿宋" w:eastAsia="仿宋" w:cs="仿宋"/>
                <w:sz w:val="24"/>
              </w:rPr>
            </w:pPr>
            <w:r>
              <w:rPr>
                <w:rFonts w:hint="eastAsia" w:ascii="仿宋" w:hAnsi="仿宋" w:eastAsia="仿宋" w:cs="仿宋"/>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1</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报价部分</w:t>
            </w:r>
          </w:p>
          <w:p>
            <w:pPr>
              <w:wordWrap w:val="0"/>
              <w:ind w:firstLine="28"/>
              <w:jc w:val="center"/>
              <w:rPr>
                <w:rFonts w:ascii="仿宋" w:hAnsi="仿宋" w:eastAsia="仿宋" w:cs="仿宋"/>
                <w:sz w:val="24"/>
              </w:rPr>
            </w:pPr>
            <w:r>
              <w:rPr>
                <w:rFonts w:hint="eastAsia" w:ascii="仿宋" w:hAnsi="仿宋" w:eastAsia="仿宋" w:cs="仿宋"/>
                <w:sz w:val="24"/>
              </w:rPr>
              <w:t>30%（共同类评分因素）</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投标报价</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30分</w:t>
            </w:r>
          </w:p>
        </w:tc>
        <w:tc>
          <w:tcPr>
            <w:tcW w:w="2065" w:type="pct"/>
            <w:vAlign w:val="center"/>
          </w:tcPr>
          <w:p>
            <w:pPr>
              <w:wordWrap w:val="0"/>
              <w:rPr>
                <w:rFonts w:ascii="仿宋" w:hAnsi="仿宋" w:eastAsia="仿宋" w:cs="仿宋"/>
                <w:sz w:val="24"/>
              </w:rPr>
            </w:pPr>
            <w:r>
              <w:rPr>
                <w:rFonts w:hint="eastAsia" w:ascii="仿宋" w:hAnsi="仿宋" w:eastAsia="仿宋" w:cs="仿宋"/>
                <w:sz w:val="24"/>
              </w:rPr>
              <w:t>以本次有效供应商中最低评标价为基准价，得满分，投标报价得分=(基准价／评标价)×30。</w:t>
            </w:r>
          </w:p>
          <w:p>
            <w:pPr>
              <w:wordWrap w:val="0"/>
              <w:rPr>
                <w:rFonts w:ascii="仿宋" w:hAnsi="仿宋" w:eastAsia="仿宋" w:cs="仿宋"/>
                <w:sz w:val="24"/>
              </w:rPr>
            </w:pPr>
            <w:r>
              <w:rPr>
                <w:rFonts w:hint="eastAsia" w:ascii="仿宋" w:hAnsi="仿宋" w:eastAsia="仿宋" w:cs="仿宋"/>
                <w:sz w:val="24"/>
              </w:rPr>
              <w:t>注：</w:t>
            </w:r>
          </w:p>
          <w:p>
            <w:pPr>
              <w:wordWrap w:val="0"/>
              <w:rPr>
                <w:rFonts w:ascii="仿宋" w:hAnsi="仿宋" w:eastAsia="仿宋" w:cs="仿宋"/>
                <w:sz w:val="24"/>
              </w:rPr>
            </w:pPr>
            <w:r>
              <w:rPr>
                <w:rFonts w:hint="eastAsia" w:ascii="仿宋" w:hAnsi="仿宋" w:eastAsia="仿宋" w:cs="仿宋"/>
                <w:sz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rPr>
            </w:pPr>
            <w:r>
              <w:rPr>
                <w:rFonts w:hint="eastAsia" w:ascii="仿宋" w:hAnsi="仿宋" w:eastAsia="仿宋" w:cs="仿宋"/>
                <w:sz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2</w:t>
            </w:r>
          </w:p>
        </w:tc>
        <w:tc>
          <w:tcPr>
            <w:tcW w:w="638"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技术部分</w:t>
            </w:r>
          </w:p>
          <w:p>
            <w:pPr>
              <w:wordWrap w:val="0"/>
              <w:ind w:left="63" w:leftChars="30"/>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%（技术类评分因素）</w:t>
            </w:r>
          </w:p>
        </w:tc>
        <w:tc>
          <w:tcPr>
            <w:tcW w:w="506"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技术指标和配置</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分</w:t>
            </w:r>
          </w:p>
        </w:tc>
        <w:tc>
          <w:tcPr>
            <w:tcW w:w="2065" w:type="pct"/>
            <w:vAlign w:val="center"/>
          </w:tcPr>
          <w:p>
            <w:pPr>
              <w:pStyle w:val="4"/>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60</w:t>
            </w:r>
            <w:r>
              <w:rPr>
                <w:rFonts w:hint="eastAsia" w:ascii="仿宋" w:hAnsi="仿宋" w:eastAsia="仿宋" w:cs="仿宋"/>
                <w:bCs/>
                <w:sz w:val="24"/>
              </w:rPr>
              <w:t>分。</w:t>
            </w:r>
          </w:p>
          <w:p>
            <w:pPr>
              <w:pStyle w:val="4"/>
              <w:rPr>
                <w:rFonts w:ascii="仿宋" w:hAnsi="仿宋" w:eastAsia="仿宋" w:cs="仿宋"/>
                <w:bCs/>
                <w:sz w:val="24"/>
              </w:rPr>
            </w:pPr>
            <w:r>
              <w:rPr>
                <w:rFonts w:hint="eastAsia" w:ascii="仿宋" w:hAnsi="仿宋" w:eastAsia="仿宋" w:cs="仿宋"/>
                <w:bCs/>
                <w:sz w:val="24"/>
              </w:rPr>
              <w:t>1、投标人针对招标文件的技术参数条款的响应得分规则如下：</w:t>
            </w:r>
          </w:p>
          <w:p>
            <w:pPr>
              <w:pStyle w:val="4"/>
              <w:rPr>
                <w:rFonts w:ascii="仿宋" w:hAnsi="仿宋" w:eastAsia="仿宋" w:cs="仿宋"/>
                <w:bCs/>
                <w:sz w:val="24"/>
              </w:rPr>
            </w:pPr>
            <w:r>
              <w:rPr>
                <w:rFonts w:hint="eastAsia" w:ascii="仿宋" w:hAnsi="仿宋" w:eastAsia="仿宋" w:cs="仿宋"/>
                <w:bCs/>
                <w:sz w:val="24"/>
              </w:rPr>
              <w:t>技术参数条款响应得分=（投标人满足技术参数条款的数量÷技术参数条款的总数量）×</w:t>
            </w:r>
            <w:r>
              <w:rPr>
                <w:rFonts w:hint="eastAsia" w:ascii="仿宋" w:hAnsi="仿宋" w:eastAsia="仿宋" w:cs="仿宋"/>
                <w:bCs/>
                <w:sz w:val="24"/>
                <w:lang w:val="en-US" w:eastAsia="zh-CN"/>
              </w:rPr>
              <w:t>60</w:t>
            </w:r>
            <w:r>
              <w:rPr>
                <w:rFonts w:hint="eastAsia" w:ascii="仿宋" w:hAnsi="仿宋" w:eastAsia="仿宋" w:cs="仿宋"/>
                <w:bCs/>
                <w:sz w:val="24"/>
              </w:rPr>
              <w:t>分。</w:t>
            </w:r>
          </w:p>
          <w:p>
            <w:pPr>
              <w:pStyle w:val="4"/>
              <w:rPr>
                <w:rFonts w:ascii="仿宋" w:hAnsi="仿宋" w:eastAsia="仿宋" w:cs="仿宋"/>
                <w:bCs/>
                <w:sz w:val="24"/>
              </w:rPr>
            </w:pPr>
            <w:r>
              <w:rPr>
                <w:rFonts w:hint="eastAsia" w:ascii="仿宋" w:hAnsi="仿宋" w:eastAsia="仿宋" w:cs="仿宋"/>
                <w:bCs/>
                <w:sz w:val="24"/>
              </w:rPr>
              <w:t>注：</w:t>
            </w:r>
          </w:p>
          <w:p>
            <w:pPr>
              <w:pStyle w:val="4"/>
              <w:rPr>
                <w:rFonts w:ascii="仿宋" w:hAnsi="仿宋" w:eastAsia="仿宋" w:cs="仿宋"/>
                <w:bCs/>
                <w:sz w:val="24"/>
              </w:rPr>
            </w:pPr>
            <w:r>
              <w:rPr>
                <w:rFonts w:hint="eastAsia" w:ascii="仿宋" w:hAnsi="仿宋" w:eastAsia="仿宋" w:cs="仿宋"/>
                <w:bCs/>
                <w:sz w:val="24"/>
              </w:rPr>
              <w:t>①得分保留小数点后两位小数，四舍五入。</w:t>
            </w:r>
          </w:p>
          <w:p>
            <w:pPr>
              <w:pStyle w:val="4"/>
              <w:rPr>
                <w:rFonts w:ascii="仿宋" w:hAnsi="仿宋" w:eastAsia="仿宋" w:cs="仿宋"/>
                <w:sz w:val="24"/>
              </w:rPr>
            </w:pPr>
            <w:r>
              <w:rPr>
                <w:rFonts w:hint="eastAsia" w:ascii="仿宋" w:hAnsi="仿宋" w:eastAsia="仿宋" w:cs="仿宋"/>
                <w:bCs/>
                <w:sz w:val="24"/>
              </w:rPr>
              <w:t>②若每一项技术指标项均有负偏离，此处分值应扣完，得0分。</w:t>
            </w:r>
          </w:p>
        </w:tc>
        <w:tc>
          <w:tcPr>
            <w:tcW w:w="1117" w:type="pct"/>
            <w:vAlign w:val="center"/>
          </w:tcPr>
          <w:p>
            <w:pPr>
              <w:wordWrap w:val="0"/>
              <w:rPr>
                <w:rFonts w:ascii="仿宋" w:hAnsi="仿宋" w:eastAsia="仿宋" w:cs="仿宋"/>
                <w:sz w:val="24"/>
              </w:rPr>
            </w:pPr>
            <w:r>
              <w:rPr>
                <w:rFonts w:hint="eastAsia" w:ascii="仿宋" w:hAnsi="仿宋" w:eastAsia="仿宋" w:cs="仿宋"/>
                <w:sz w:val="24"/>
              </w:rPr>
              <w:t>若技术参数中要求了证明材料的按技术参数中的要求提供，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rPr>
            </w:pPr>
            <w:r>
              <w:rPr>
                <w:rFonts w:hint="eastAsia" w:ascii="仿宋" w:hAnsi="仿宋" w:eastAsia="仿宋" w:cs="仿宋"/>
                <w:sz w:val="24"/>
              </w:rPr>
              <w:t>3</w:t>
            </w:r>
          </w:p>
        </w:tc>
        <w:tc>
          <w:tcPr>
            <w:tcW w:w="638" w:type="pct"/>
            <w:vMerge w:val="restart"/>
            <w:vAlign w:val="center"/>
          </w:tcPr>
          <w:p>
            <w:pPr>
              <w:wordWrap w:val="0"/>
              <w:jc w:val="center"/>
              <w:rPr>
                <w:rFonts w:ascii="仿宋" w:hAnsi="仿宋" w:eastAsia="仿宋" w:cs="仿宋"/>
                <w:sz w:val="24"/>
              </w:rPr>
            </w:pPr>
            <w:r>
              <w:rPr>
                <w:rFonts w:hint="eastAsia" w:ascii="仿宋" w:hAnsi="仿宋" w:eastAsia="仿宋" w:cs="仿宋"/>
                <w:sz w:val="24"/>
              </w:rPr>
              <w:t>商务部分</w:t>
            </w:r>
          </w:p>
          <w:p>
            <w:pPr>
              <w:wordWrap w:val="0"/>
              <w:jc w:val="center"/>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%（共同类评分因素）</w:t>
            </w:r>
          </w:p>
        </w:tc>
        <w:tc>
          <w:tcPr>
            <w:tcW w:w="506" w:type="pct"/>
            <w:vAlign w:val="center"/>
          </w:tcPr>
          <w:p>
            <w:pPr>
              <w:wordWrap w:val="0"/>
              <w:jc w:val="center"/>
              <w:rPr>
                <w:rFonts w:ascii="仿宋" w:hAnsi="仿宋" w:eastAsia="仿宋" w:cs="仿宋"/>
                <w:sz w:val="24"/>
              </w:rPr>
            </w:pPr>
            <w:r>
              <w:rPr>
                <w:rFonts w:hint="eastAsia" w:ascii="仿宋" w:hAnsi="仿宋" w:eastAsia="仿宋" w:cs="仿宋"/>
                <w:sz w:val="24"/>
              </w:rPr>
              <w:t>业绩</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c>
          <w:tcPr>
            <w:tcW w:w="2065" w:type="pct"/>
            <w:vAlign w:val="center"/>
          </w:tcPr>
          <w:p>
            <w:pPr>
              <w:pStyle w:val="22"/>
              <w:wordWrap w:val="0"/>
              <w:rPr>
                <w:rFonts w:ascii="仿宋" w:hAnsi="仿宋" w:eastAsia="仿宋" w:cs="仿宋"/>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sz w:val="24"/>
                <w:szCs w:val="24"/>
              </w:rPr>
            </w:pPr>
            <w:r>
              <w:rPr>
                <w:rFonts w:hint="eastAsia" w:ascii="仿宋" w:hAnsi="仿宋" w:eastAsia="仿宋" w:cs="仿宋"/>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rPr>
            </w:pPr>
          </w:p>
        </w:tc>
        <w:tc>
          <w:tcPr>
            <w:tcW w:w="638" w:type="pct"/>
            <w:vMerge w:val="continue"/>
            <w:vAlign w:val="center"/>
          </w:tcPr>
          <w:p>
            <w:pPr>
              <w:wordWrap w:val="0"/>
              <w:jc w:val="center"/>
              <w:rPr>
                <w:rFonts w:ascii="仿宋" w:hAnsi="仿宋" w:eastAsia="仿宋" w:cs="仿宋"/>
                <w:sz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rPr>
            </w:pPr>
            <w:r>
              <w:rPr>
                <w:rFonts w:hint="eastAsia" w:ascii="仿宋" w:hAnsi="仿宋" w:eastAsia="仿宋" w:cs="仿宋"/>
                <w:sz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sz w:val="24"/>
              </w:rPr>
            </w:pPr>
            <w:r>
              <w:rPr>
                <w:rFonts w:hint="eastAsia" w:ascii="仿宋" w:hAnsi="仿宋" w:eastAsia="仿宋" w:cs="仿宋"/>
                <w:bCs/>
                <w:sz w:val="24"/>
              </w:rPr>
              <w:t>1、供应商结合本项目及采购人实际需要，提供售后服务方案（内容至少包括：①售后服务人员数量(提供社保等证明)②成都是否有售后点③配件品质及到货时间④质保期外售后服务措施）。完全满足以上要求并且合理可行、具有针对性的得</w:t>
            </w:r>
            <w:r>
              <w:rPr>
                <w:rFonts w:ascii="仿宋" w:hAnsi="仿宋" w:eastAsia="仿宋" w:cs="仿宋"/>
                <w:bCs/>
                <w:sz w:val="24"/>
              </w:rPr>
              <w:t>2</w:t>
            </w:r>
            <w:r>
              <w:rPr>
                <w:rFonts w:hint="eastAsia" w:ascii="仿宋" w:hAnsi="仿宋" w:eastAsia="仿宋" w:cs="仿宋"/>
                <w:bCs/>
                <w:sz w:val="24"/>
              </w:rPr>
              <w:t>分，每有一项内容缺失扣</w:t>
            </w:r>
            <w:r>
              <w:rPr>
                <w:rFonts w:ascii="仿宋" w:hAnsi="仿宋" w:eastAsia="仿宋" w:cs="仿宋"/>
                <w:bCs/>
                <w:sz w:val="24"/>
              </w:rPr>
              <w:t>2</w:t>
            </w:r>
            <w:r>
              <w:rPr>
                <w:rFonts w:hint="eastAsia" w:ascii="仿宋" w:hAnsi="仿宋" w:eastAsia="仿宋" w:cs="仿宋"/>
                <w:bCs/>
                <w:sz w:val="24"/>
              </w:rPr>
              <w:t>分，每有一项内容存在不合理或不足或没有针对性的扣</w:t>
            </w:r>
            <w:r>
              <w:rPr>
                <w:rFonts w:ascii="仿宋" w:hAnsi="仿宋" w:eastAsia="仿宋" w:cs="仿宋"/>
                <w:bCs/>
                <w:sz w:val="24"/>
              </w:rPr>
              <w:t>1</w:t>
            </w:r>
            <w:r>
              <w:rPr>
                <w:rFonts w:hint="eastAsia" w:ascii="仿宋" w:hAnsi="仿宋" w:eastAsia="仿宋" w:cs="仿宋"/>
                <w:bCs/>
                <w:sz w:val="24"/>
              </w:rPr>
              <w:t>分，扣完为止。</w:t>
            </w:r>
          </w:p>
          <w:p>
            <w:pPr>
              <w:wordWrap w:val="0"/>
              <w:ind w:firstLine="28"/>
              <w:rPr>
                <w:rFonts w:ascii="仿宋" w:hAnsi="仿宋" w:eastAsia="仿宋" w:cs="仿宋"/>
                <w:bCs/>
                <w:sz w:val="24"/>
              </w:rPr>
            </w:pPr>
            <w:r>
              <w:rPr>
                <w:rFonts w:hint="eastAsia" w:ascii="仿宋" w:hAnsi="仿宋" w:eastAsia="仿宋" w:cs="仿宋"/>
                <w:bCs/>
                <w:sz w:val="24"/>
              </w:rPr>
              <w:t>注：</w:t>
            </w:r>
            <w:r>
              <w:rPr>
                <w:rFonts w:hint="eastAsia" w:ascii="仿宋" w:hAnsi="仿宋" w:eastAsia="仿宋" w:cs="仿宋"/>
                <w:bCs/>
                <w:sz w:val="24"/>
                <w:szCs w:val="24"/>
              </w:rPr>
              <w:t>项目名称、涉及的规范、标准与本项目要求不一致、分析简略、套用其他项目模板、流程不清晰或只有框架而无实际内容、内容与本项目无关等任意一种情形</w:t>
            </w:r>
            <w:r>
              <w:rPr>
                <w:rFonts w:hint="eastAsia" w:ascii="仿宋" w:hAnsi="仿宋" w:eastAsia="仿宋" w:cs="仿宋"/>
                <w:bCs/>
                <w:sz w:val="24"/>
              </w:rPr>
              <w:t>。</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rPr>
            </w:pPr>
            <w:r>
              <w:rPr>
                <w:rFonts w:hint="eastAsia" w:ascii="仿宋" w:hAnsi="仿宋" w:eastAsia="仿宋" w:cs="仿宋"/>
                <w:sz w:val="24"/>
              </w:rPr>
              <w:t>以投标人提供的投标文件为准。</w:t>
            </w:r>
          </w:p>
        </w:tc>
      </w:tr>
    </w:tbl>
    <w:p>
      <w:pPr>
        <w:pStyle w:val="4"/>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包二：</w:t>
      </w:r>
    </w:p>
    <w:tbl>
      <w:tblPr>
        <w:tblStyle w:val="10"/>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072"/>
        <w:gridCol w:w="850"/>
        <w:gridCol w:w="635"/>
        <w:gridCol w:w="347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序号</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评分因素及权重</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评分指标</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分值</w:t>
            </w:r>
          </w:p>
        </w:tc>
        <w:tc>
          <w:tcPr>
            <w:tcW w:w="2065" w:type="pct"/>
            <w:vAlign w:val="center"/>
          </w:tcPr>
          <w:p>
            <w:pPr>
              <w:wordWrap w:val="0"/>
              <w:ind w:firstLine="28"/>
              <w:jc w:val="center"/>
              <w:rPr>
                <w:rFonts w:ascii="仿宋" w:hAnsi="仿宋" w:eastAsia="仿宋" w:cs="仿宋"/>
                <w:sz w:val="24"/>
              </w:rPr>
            </w:pPr>
            <w:r>
              <w:rPr>
                <w:rFonts w:hint="eastAsia" w:ascii="仿宋" w:hAnsi="仿宋" w:eastAsia="仿宋" w:cs="仿宋"/>
                <w:sz w:val="24"/>
              </w:rPr>
              <w:t>评分标准</w:t>
            </w:r>
          </w:p>
        </w:tc>
        <w:tc>
          <w:tcPr>
            <w:tcW w:w="1117" w:type="pct"/>
            <w:vAlign w:val="center"/>
          </w:tcPr>
          <w:p>
            <w:pPr>
              <w:wordWrap w:val="0"/>
              <w:jc w:val="center"/>
              <w:rPr>
                <w:rFonts w:ascii="仿宋" w:hAnsi="仿宋" w:eastAsia="仿宋" w:cs="仿宋"/>
                <w:sz w:val="24"/>
              </w:rPr>
            </w:pPr>
            <w:r>
              <w:rPr>
                <w:rFonts w:hint="eastAsia" w:ascii="仿宋" w:hAnsi="仿宋" w:eastAsia="仿宋" w:cs="仿宋"/>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1</w:t>
            </w:r>
          </w:p>
        </w:tc>
        <w:tc>
          <w:tcPr>
            <w:tcW w:w="638"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报价部分</w:t>
            </w:r>
          </w:p>
          <w:p>
            <w:pPr>
              <w:wordWrap w:val="0"/>
              <w:ind w:firstLine="28"/>
              <w:jc w:val="center"/>
              <w:rPr>
                <w:rFonts w:ascii="仿宋" w:hAnsi="仿宋" w:eastAsia="仿宋" w:cs="仿宋"/>
                <w:sz w:val="24"/>
              </w:rPr>
            </w:pPr>
            <w:r>
              <w:rPr>
                <w:rFonts w:hint="eastAsia" w:ascii="仿宋" w:hAnsi="仿宋" w:eastAsia="仿宋" w:cs="仿宋"/>
                <w:sz w:val="24"/>
              </w:rPr>
              <w:t>30%（共同类评分因素）</w:t>
            </w:r>
          </w:p>
        </w:tc>
        <w:tc>
          <w:tcPr>
            <w:tcW w:w="506" w:type="pct"/>
            <w:vAlign w:val="center"/>
          </w:tcPr>
          <w:p>
            <w:pPr>
              <w:wordWrap w:val="0"/>
              <w:ind w:firstLine="28"/>
              <w:jc w:val="center"/>
              <w:rPr>
                <w:rFonts w:ascii="仿宋" w:hAnsi="仿宋" w:eastAsia="仿宋" w:cs="仿宋"/>
                <w:sz w:val="24"/>
              </w:rPr>
            </w:pPr>
            <w:r>
              <w:rPr>
                <w:rFonts w:hint="eastAsia" w:ascii="仿宋" w:hAnsi="仿宋" w:eastAsia="仿宋" w:cs="仿宋"/>
                <w:sz w:val="24"/>
              </w:rPr>
              <w:t>投标报价</w:t>
            </w:r>
          </w:p>
        </w:tc>
        <w:tc>
          <w:tcPr>
            <w:tcW w:w="378" w:type="pct"/>
            <w:vAlign w:val="center"/>
          </w:tcPr>
          <w:p>
            <w:pPr>
              <w:wordWrap w:val="0"/>
              <w:ind w:firstLine="28"/>
              <w:jc w:val="center"/>
              <w:rPr>
                <w:rFonts w:ascii="仿宋" w:hAnsi="仿宋" w:eastAsia="仿宋" w:cs="仿宋"/>
                <w:sz w:val="24"/>
              </w:rPr>
            </w:pPr>
            <w:r>
              <w:rPr>
                <w:rFonts w:hint="eastAsia" w:ascii="仿宋" w:hAnsi="仿宋" w:eastAsia="仿宋" w:cs="仿宋"/>
                <w:sz w:val="24"/>
              </w:rPr>
              <w:t>30分</w:t>
            </w:r>
          </w:p>
        </w:tc>
        <w:tc>
          <w:tcPr>
            <w:tcW w:w="2065" w:type="pct"/>
            <w:vAlign w:val="center"/>
          </w:tcPr>
          <w:p>
            <w:pPr>
              <w:wordWrap w:val="0"/>
              <w:rPr>
                <w:rFonts w:ascii="仿宋" w:hAnsi="仿宋" w:eastAsia="仿宋" w:cs="仿宋"/>
                <w:sz w:val="24"/>
              </w:rPr>
            </w:pPr>
            <w:r>
              <w:rPr>
                <w:rFonts w:hint="eastAsia" w:ascii="仿宋" w:hAnsi="仿宋" w:eastAsia="仿宋" w:cs="仿宋"/>
                <w:sz w:val="24"/>
              </w:rPr>
              <w:t>以本次有效供应商中最低评标价为基准价，得满分，投标报价得分=(基准价／评标价)×30。</w:t>
            </w:r>
          </w:p>
          <w:p>
            <w:pPr>
              <w:wordWrap w:val="0"/>
              <w:rPr>
                <w:rFonts w:ascii="仿宋" w:hAnsi="仿宋" w:eastAsia="仿宋" w:cs="仿宋"/>
                <w:sz w:val="24"/>
              </w:rPr>
            </w:pPr>
            <w:r>
              <w:rPr>
                <w:rFonts w:hint="eastAsia" w:ascii="仿宋" w:hAnsi="仿宋" w:eastAsia="仿宋" w:cs="仿宋"/>
                <w:sz w:val="24"/>
              </w:rPr>
              <w:t>注：</w:t>
            </w:r>
          </w:p>
          <w:p>
            <w:pPr>
              <w:wordWrap w:val="0"/>
              <w:rPr>
                <w:rFonts w:ascii="仿宋" w:hAnsi="仿宋" w:eastAsia="仿宋" w:cs="仿宋"/>
                <w:sz w:val="24"/>
              </w:rPr>
            </w:pPr>
            <w:r>
              <w:rPr>
                <w:rFonts w:hint="eastAsia" w:ascii="仿宋" w:hAnsi="仿宋" w:eastAsia="仿宋" w:cs="仿宋"/>
                <w:sz w:val="24"/>
              </w:rPr>
              <w:t>1、小微企业（监狱企业、残疾人福利性单位视同小微企业）价格扣除按照本招标文件投标须知前附表规定执行。</w:t>
            </w:r>
          </w:p>
        </w:tc>
        <w:tc>
          <w:tcPr>
            <w:tcW w:w="1117" w:type="pct"/>
            <w:vAlign w:val="center"/>
          </w:tcPr>
          <w:p>
            <w:pPr>
              <w:wordWrap w:val="0"/>
              <w:rPr>
                <w:rFonts w:ascii="仿宋" w:hAnsi="仿宋" w:eastAsia="仿宋" w:cs="仿宋"/>
                <w:sz w:val="24"/>
              </w:rPr>
            </w:pPr>
            <w:r>
              <w:rPr>
                <w:rFonts w:hint="eastAsia" w:ascii="仿宋" w:hAnsi="仿宋" w:eastAsia="仿宋" w:cs="仿宋"/>
                <w:sz w:val="24"/>
              </w:rPr>
              <w:t>以投标人提供的投标报价为准。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96" w:type="pct"/>
            <w:vAlign w:val="center"/>
          </w:tcPr>
          <w:p>
            <w:pPr>
              <w:wordWrap w:val="0"/>
              <w:ind w:firstLine="28"/>
              <w:jc w:val="center"/>
              <w:rPr>
                <w:rFonts w:ascii="仿宋" w:hAnsi="仿宋" w:eastAsia="仿宋" w:cs="仿宋"/>
                <w:sz w:val="24"/>
              </w:rPr>
            </w:pPr>
            <w:r>
              <w:rPr>
                <w:rFonts w:hint="eastAsia" w:ascii="仿宋" w:hAnsi="仿宋" w:eastAsia="仿宋" w:cs="仿宋"/>
                <w:sz w:val="24"/>
              </w:rPr>
              <w:t>2</w:t>
            </w:r>
          </w:p>
        </w:tc>
        <w:tc>
          <w:tcPr>
            <w:tcW w:w="638"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技术部分</w:t>
            </w:r>
          </w:p>
          <w:p>
            <w:pPr>
              <w:wordWrap w:val="0"/>
              <w:ind w:left="63" w:leftChars="30"/>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%（技术类评分因素）</w:t>
            </w:r>
          </w:p>
        </w:tc>
        <w:tc>
          <w:tcPr>
            <w:tcW w:w="506" w:type="pct"/>
            <w:vAlign w:val="center"/>
          </w:tcPr>
          <w:p>
            <w:pPr>
              <w:wordWrap w:val="0"/>
              <w:ind w:left="63" w:leftChars="30"/>
              <w:jc w:val="center"/>
              <w:rPr>
                <w:rFonts w:ascii="仿宋" w:hAnsi="仿宋" w:eastAsia="仿宋" w:cs="仿宋"/>
                <w:sz w:val="24"/>
              </w:rPr>
            </w:pPr>
            <w:r>
              <w:rPr>
                <w:rFonts w:hint="eastAsia" w:ascii="仿宋" w:hAnsi="仿宋" w:eastAsia="仿宋" w:cs="仿宋"/>
                <w:sz w:val="24"/>
              </w:rPr>
              <w:t>技术指标和配置</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分</w:t>
            </w:r>
          </w:p>
        </w:tc>
        <w:tc>
          <w:tcPr>
            <w:tcW w:w="2065" w:type="pct"/>
            <w:vAlign w:val="center"/>
          </w:tcPr>
          <w:p>
            <w:pPr>
              <w:pStyle w:val="4"/>
              <w:rPr>
                <w:rFonts w:ascii="仿宋" w:hAnsi="仿宋" w:eastAsia="仿宋" w:cs="仿宋"/>
                <w:bCs/>
                <w:sz w:val="24"/>
              </w:rPr>
            </w:pPr>
            <w:r>
              <w:rPr>
                <w:rFonts w:hint="eastAsia" w:ascii="仿宋" w:hAnsi="仿宋" w:eastAsia="仿宋" w:cs="仿宋"/>
                <w:bCs/>
                <w:sz w:val="24"/>
              </w:rPr>
              <w:t>技术指标和配置完全符合招标文件要求没有负偏离得</w:t>
            </w:r>
            <w:r>
              <w:rPr>
                <w:rFonts w:ascii="仿宋" w:hAnsi="仿宋" w:eastAsia="仿宋" w:cs="仿宋"/>
                <w:bCs/>
                <w:sz w:val="24"/>
              </w:rPr>
              <w:t>60</w:t>
            </w:r>
            <w:r>
              <w:rPr>
                <w:rFonts w:hint="eastAsia" w:ascii="仿宋" w:hAnsi="仿宋" w:eastAsia="仿宋" w:cs="仿宋"/>
                <w:bCs/>
                <w:sz w:val="24"/>
              </w:rPr>
              <w:t>分。</w:t>
            </w:r>
          </w:p>
          <w:p>
            <w:pPr>
              <w:pStyle w:val="4"/>
              <w:rPr>
                <w:rFonts w:ascii="仿宋" w:hAnsi="仿宋" w:eastAsia="仿宋" w:cs="仿宋"/>
                <w:bCs/>
                <w:sz w:val="24"/>
              </w:rPr>
            </w:pPr>
            <w:r>
              <w:rPr>
                <w:rFonts w:hint="eastAsia" w:ascii="仿宋" w:hAnsi="仿宋" w:eastAsia="仿宋" w:cs="仿宋"/>
                <w:bCs/>
                <w:sz w:val="24"/>
              </w:rPr>
              <w:t>1、投标人针对招标文件的技术参数条款的响应得分规则如下：</w:t>
            </w:r>
          </w:p>
          <w:p>
            <w:pPr>
              <w:pStyle w:val="4"/>
              <w:rPr>
                <w:rFonts w:ascii="仿宋" w:hAnsi="仿宋" w:eastAsia="仿宋" w:cs="仿宋"/>
                <w:bCs/>
                <w:sz w:val="24"/>
              </w:rPr>
            </w:pPr>
            <w:r>
              <w:rPr>
                <w:rFonts w:hint="eastAsia" w:ascii="仿宋" w:hAnsi="仿宋" w:eastAsia="仿宋" w:cs="仿宋"/>
                <w:bCs/>
                <w:sz w:val="24"/>
              </w:rPr>
              <w:t>技术参数条款响应得分=（投标人满足技术参数条款的数量÷技术参数条款的总数量）×</w:t>
            </w:r>
            <w:r>
              <w:rPr>
                <w:rFonts w:hint="eastAsia" w:ascii="仿宋" w:hAnsi="仿宋" w:eastAsia="仿宋" w:cs="仿宋"/>
                <w:bCs/>
                <w:sz w:val="24"/>
                <w:lang w:val="en-US" w:eastAsia="zh-CN"/>
              </w:rPr>
              <w:t>60</w:t>
            </w:r>
            <w:r>
              <w:rPr>
                <w:rFonts w:hint="eastAsia" w:ascii="仿宋" w:hAnsi="仿宋" w:eastAsia="仿宋" w:cs="仿宋"/>
                <w:bCs/>
                <w:sz w:val="24"/>
              </w:rPr>
              <w:t>分。</w:t>
            </w:r>
          </w:p>
          <w:p>
            <w:pPr>
              <w:pStyle w:val="4"/>
              <w:rPr>
                <w:rFonts w:ascii="仿宋" w:hAnsi="仿宋" w:eastAsia="仿宋" w:cs="仿宋"/>
                <w:bCs/>
                <w:sz w:val="24"/>
              </w:rPr>
            </w:pPr>
            <w:r>
              <w:rPr>
                <w:rFonts w:hint="eastAsia" w:ascii="仿宋" w:hAnsi="仿宋" w:eastAsia="仿宋" w:cs="仿宋"/>
                <w:bCs/>
                <w:sz w:val="24"/>
              </w:rPr>
              <w:t>注：</w:t>
            </w:r>
          </w:p>
          <w:p>
            <w:pPr>
              <w:pStyle w:val="4"/>
              <w:rPr>
                <w:rFonts w:ascii="仿宋" w:hAnsi="仿宋" w:eastAsia="仿宋" w:cs="仿宋"/>
                <w:bCs/>
                <w:sz w:val="24"/>
              </w:rPr>
            </w:pPr>
            <w:r>
              <w:rPr>
                <w:rFonts w:hint="eastAsia" w:ascii="仿宋" w:hAnsi="仿宋" w:eastAsia="仿宋" w:cs="仿宋"/>
                <w:bCs/>
                <w:sz w:val="24"/>
              </w:rPr>
              <w:t>①得分保留小数点后两位小数，四舍五入。</w:t>
            </w:r>
          </w:p>
          <w:p>
            <w:pPr>
              <w:pStyle w:val="4"/>
              <w:rPr>
                <w:rFonts w:ascii="仿宋" w:hAnsi="仿宋" w:eastAsia="仿宋" w:cs="仿宋"/>
                <w:sz w:val="24"/>
              </w:rPr>
            </w:pPr>
            <w:r>
              <w:rPr>
                <w:rFonts w:hint="eastAsia" w:ascii="仿宋" w:hAnsi="仿宋" w:eastAsia="仿宋" w:cs="仿宋"/>
                <w:bCs/>
                <w:sz w:val="24"/>
              </w:rPr>
              <w:t>②若每一项技术指标项均有负偏离，此处分值应扣完，得0分。</w:t>
            </w:r>
          </w:p>
        </w:tc>
        <w:tc>
          <w:tcPr>
            <w:tcW w:w="1117" w:type="pct"/>
            <w:vAlign w:val="center"/>
          </w:tcPr>
          <w:p>
            <w:pPr>
              <w:wordWrap w:val="0"/>
              <w:rPr>
                <w:rFonts w:ascii="仿宋" w:hAnsi="仿宋" w:eastAsia="仿宋" w:cs="仿宋"/>
                <w:sz w:val="24"/>
              </w:rPr>
            </w:pPr>
            <w:r>
              <w:rPr>
                <w:rFonts w:hint="eastAsia" w:ascii="仿宋" w:hAnsi="仿宋" w:eastAsia="仿宋" w:cs="仿宋"/>
                <w:sz w:val="24"/>
              </w:rPr>
              <w:t>若技术参数中要求了证明材料的按技术参数中的要求提供，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的不得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296" w:type="pct"/>
            <w:vMerge w:val="restart"/>
            <w:vAlign w:val="center"/>
          </w:tcPr>
          <w:p>
            <w:pPr>
              <w:wordWrap w:val="0"/>
              <w:ind w:firstLine="28"/>
              <w:jc w:val="center"/>
              <w:rPr>
                <w:rFonts w:ascii="仿宋" w:hAnsi="仿宋" w:eastAsia="仿宋" w:cs="仿宋"/>
                <w:sz w:val="24"/>
              </w:rPr>
            </w:pPr>
            <w:r>
              <w:rPr>
                <w:rFonts w:hint="eastAsia" w:ascii="仿宋" w:hAnsi="仿宋" w:eastAsia="仿宋" w:cs="仿宋"/>
                <w:sz w:val="24"/>
              </w:rPr>
              <w:t>3</w:t>
            </w:r>
          </w:p>
        </w:tc>
        <w:tc>
          <w:tcPr>
            <w:tcW w:w="638" w:type="pct"/>
            <w:vMerge w:val="restart"/>
            <w:vAlign w:val="center"/>
          </w:tcPr>
          <w:p>
            <w:pPr>
              <w:wordWrap w:val="0"/>
              <w:jc w:val="center"/>
              <w:rPr>
                <w:rFonts w:ascii="仿宋" w:hAnsi="仿宋" w:eastAsia="仿宋" w:cs="仿宋"/>
                <w:sz w:val="24"/>
              </w:rPr>
            </w:pPr>
            <w:r>
              <w:rPr>
                <w:rFonts w:hint="eastAsia" w:ascii="仿宋" w:hAnsi="仿宋" w:eastAsia="仿宋" w:cs="仿宋"/>
                <w:sz w:val="24"/>
              </w:rPr>
              <w:t>商务部分</w:t>
            </w:r>
          </w:p>
          <w:p>
            <w:pPr>
              <w:wordWrap w:val="0"/>
              <w:jc w:val="center"/>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%（共同类评分因素）</w:t>
            </w:r>
          </w:p>
        </w:tc>
        <w:tc>
          <w:tcPr>
            <w:tcW w:w="506" w:type="pct"/>
            <w:vAlign w:val="center"/>
          </w:tcPr>
          <w:p>
            <w:pPr>
              <w:wordWrap w:val="0"/>
              <w:jc w:val="center"/>
              <w:rPr>
                <w:rFonts w:ascii="仿宋" w:hAnsi="仿宋" w:eastAsia="仿宋" w:cs="仿宋"/>
                <w:sz w:val="24"/>
              </w:rPr>
            </w:pPr>
            <w:r>
              <w:rPr>
                <w:rFonts w:hint="eastAsia" w:ascii="仿宋" w:hAnsi="仿宋" w:eastAsia="仿宋" w:cs="仿宋"/>
                <w:sz w:val="24"/>
              </w:rPr>
              <w:t>业绩</w:t>
            </w:r>
          </w:p>
        </w:tc>
        <w:tc>
          <w:tcPr>
            <w:tcW w:w="378" w:type="pct"/>
            <w:vAlign w:val="center"/>
          </w:tcPr>
          <w:p>
            <w:pPr>
              <w:wordWrap w:val="0"/>
              <w:ind w:firstLine="28"/>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c>
          <w:tcPr>
            <w:tcW w:w="2065" w:type="pct"/>
            <w:vAlign w:val="center"/>
          </w:tcPr>
          <w:p>
            <w:pPr>
              <w:pStyle w:val="22"/>
              <w:wordWrap w:val="0"/>
              <w:rPr>
                <w:rFonts w:ascii="仿宋" w:hAnsi="仿宋" w:eastAsia="仿宋" w:cs="仿宋"/>
                <w:sz w:val="24"/>
                <w:szCs w:val="24"/>
              </w:rPr>
            </w:pPr>
            <w:r>
              <w:rPr>
                <w:rFonts w:hint="eastAsia" w:ascii="仿宋" w:hAnsi="仿宋" w:eastAsia="仿宋" w:cs="仿宋"/>
                <w:bCs/>
                <w:sz w:val="24"/>
                <w:szCs w:val="24"/>
              </w:rPr>
              <w:t>投标人提供自20</w:t>
            </w:r>
            <w:r>
              <w:rPr>
                <w:rFonts w:ascii="仿宋" w:hAnsi="仿宋" w:eastAsia="仿宋" w:cs="仿宋"/>
                <w:bCs/>
                <w:sz w:val="24"/>
                <w:szCs w:val="24"/>
              </w:rPr>
              <w:t>20</w:t>
            </w:r>
            <w:r>
              <w:rPr>
                <w:rFonts w:hint="eastAsia" w:ascii="仿宋" w:hAnsi="仿宋" w:eastAsia="仿宋" w:cs="仿宋"/>
                <w:bCs/>
                <w:sz w:val="24"/>
                <w:szCs w:val="24"/>
              </w:rPr>
              <w:t>年1月1日以来本次投标产品的销售记录（销售方不限），每提供1个得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分。（本次招标产品或分包项中采购产品不止一个的，则按照每提供任意1个产品有1次销售记录得</w:t>
            </w:r>
            <w:r>
              <w:rPr>
                <w:rFonts w:ascii="仿宋" w:hAnsi="仿宋" w:eastAsia="仿宋" w:cs="仿宋"/>
                <w:bCs/>
                <w:sz w:val="24"/>
                <w:szCs w:val="24"/>
              </w:rPr>
              <w:t>1</w:t>
            </w:r>
            <w:r>
              <w:rPr>
                <w:rFonts w:hint="eastAsia" w:ascii="仿宋" w:hAnsi="仿宋" w:eastAsia="仿宋" w:cs="仿宋"/>
                <w:bCs/>
                <w:sz w:val="24"/>
                <w:szCs w:val="24"/>
              </w:rPr>
              <w:t>分，最多得</w:t>
            </w:r>
            <w:r>
              <w:rPr>
                <w:rFonts w:ascii="仿宋" w:hAnsi="仿宋" w:eastAsia="仿宋" w:cs="仿宋"/>
                <w:bCs/>
                <w:sz w:val="24"/>
                <w:szCs w:val="24"/>
              </w:rPr>
              <w:t>2</w:t>
            </w:r>
            <w:r>
              <w:rPr>
                <w:rFonts w:hint="eastAsia" w:ascii="仿宋" w:hAnsi="仿宋" w:eastAsia="仿宋" w:cs="仿宋"/>
                <w:bCs/>
                <w:sz w:val="24"/>
                <w:szCs w:val="24"/>
              </w:rPr>
              <w:t>分）</w:t>
            </w:r>
          </w:p>
        </w:tc>
        <w:tc>
          <w:tcPr>
            <w:tcW w:w="1117" w:type="pct"/>
            <w:vAlign w:val="center"/>
          </w:tcPr>
          <w:p>
            <w:pPr>
              <w:pStyle w:val="22"/>
              <w:wordWrap w:val="0"/>
              <w:rPr>
                <w:rFonts w:ascii="仿宋" w:hAnsi="仿宋" w:eastAsia="仿宋" w:cs="仿宋"/>
                <w:sz w:val="24"/>
                <w:szCs w:val="24"/>
              </w:rPr>
            </w:pPr>
            <w:r>
              <w:rPr>
                <w:rFonts w:hint="eastAsia" w:ascii="仿宋" w:hAnsi="仿宋" w:eastAsia="仿宋" w:cs="仿宋"/>
                <w:sz w:val="24"/>
                <w:szCs w:val="24"/>
              </w:rPr>
              <w:t>投标人需提供成交销售记录的合同复印件并加盖投标人公章。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296" w:type="pct"/>
            <w:vMerge w:val="continue"/>
            <w:vAlign w:val="center"/>
          </w:tcPr>
          <w:p>
            <w:pPr>
              <w:wordWrap w:val="0"/>
              <w:ind w:firstLine="28"/>
              <w:jc w:val="center"/>
              <w:rPr>
                <w:rFonts w:ascii="仿宋" w:hAnsi="仿宋" w:eastAsia="仿宋" w:cs="仿宋"/>
                <w:sz w:val="24"/>
              </w:rPr>
            </w:pPr>
          </w:p>
        </w:tc>
        <w:tc>
          <w:tcPr>
            <w:tcW w:w="638" w:type="pct"/>
            <w:vMerge w:val="continue"/>
            <w:vAlign w:val="center"/>
          </w:tcPr>
          <w:p>
            <w:pPr>
              <w:wordWrap w:val="0"/>
              <w:jc w:val="center"/>
              <w:rPr>
                <w:rFonts w:ascii="仿宋" w:hAnsi="仿宋" w:eastAsia="仿宋" w:cs="仿宋"/>
                <w:sz w:val="24"/>
              </w:rPr>
            </w:pPr>
          </w:p>
        </w:tc>
        <w:tc>
          <w:tcPr>
            <w:tcW w:w="506" w:type="pct"/>
            <w:tcBorders>
              <w:top w:val="single" w:color="auto" w:sz="4" w:space="0"/>
              <w:bottom w:val="single" w:color="auto" w:sz="4" w:space="0"/>
              <w:right w:val="single" w:color="auto" w:sz="4" w:space="0"/>
            </w:tcBorders>
            <w:vAlign w:val="center"/>
          </w:tcPr>
          <w:p>
            <w:pPr>
              <w:wordWrap w:val="0"/>
              <w:jc w:val="center"/>
              <w:rPr>
                <w:rFonts w:ascii="仿宋" w:hAnsi="仿宋" w:eastAsia="仿宋" w:cs="仿宋"/>
                <w:sz w:val="24"/>
              </w:rPr>
            </w:pPr>
            <w:r>
              <w:rPr>
                <w:rFonts w:hint="eastAsia" w:ascii="仿宋" w:hAnsi="仿宋" w:eastAsia="仿宋" w:cs="仿宋"/>
                <w:sz w:val="24"/>
              </w:rPr>
              <w:t>售后服务</w:t>
            </w:r>
          </w:p>
        </w:tc>
        <w:tc>
          <w:tcPr>
            <w:tcW w:w="378" w:type="pct"/>
            <w:tcBorders>
              <w:top w:val="single" w:color="auto" w:sz="4" w:space="0"/>
              <w:left w:val="single" w:color="auto" w:sz="4" w:space="0"/>
              <w:bottom w:val="single" w:color="auto" w:sz="4" w:space="0"/>
              <w:right w:val="single" w:color="auto" w:sz="4" w:space="0"/>
            </w:tcBorders>
            <w:vAlign w:val="center"/>
          </w:tcPr>
          <w:p>
            <w:pPr>
              <w:wordWrap w:val="0"/>
              <w:ind w:firstLine="28"/>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分</w:t>
            </w:r>
          </w:p>
        </w:tc>
        <w:tc>
          <w:tcPr>
            <w:tcW w:w="2065" w:type="pct"/>
            <w:tcBorders>
              <w:top w:val="single" w:color="auto" w:sz="4" w:space="0"/>
              <w:left w:val="single" w:color="auto" w:sz="4" w:space="0"/>
              <w:bottom w:val="single" w:color="auto" w:sz="4" w:space="0"/>
              <w:right w:val="single" w:color="auto" w:sz="4" w:space="0"/>
            </w:tcBorders>
            <w:vAlign w:val="center"/>
          </w:tcPr>
          <w:p>
            <w:pPr>
              <w:wordWrap w:val="0"/>
              <w:ind w:firstLine="28"/>
              <w:rPr>
                <w:rFonts w:ascii="仿宋" w:hAnsi="仿宋" w:eastAsia="仿宋" w:cs="仿宋"/>
                <w:bCs/>
                <w:sz w:val="24"/>
              </w:rPr>
            </w:pPr>
            <w:r>
              <w:rPr>
                <w:rFonts w:hint="eastAsia" w:ascii="仿宋" w:hAnsi="仿宋" w:eastAsia="仿宋" w:cs="仿宋"/>
                <w:bCs/>
                <w:sz w:val="24"/>
              </w:rPr>
              <w:t>1、供应商结合本项目及采购人实际需要，提供售后服务方案（内容至少包括：①售后服务人员数量(提供社保等证明)②成都是否有售后点③配件品质及到货时间④质保期外售后服务措施）。完全满足以上要求并且合理可行、具有针对性的得</w:t>
            </w:r>
            <w:r>
              <w:rPr>
                <w:rFonts w:ascii="仿宋" w:hAnsi="仿宋" w:eastAsia="仿宋" w:cs="仿宋"/>
                <w:bCs/>
                <w:sz w:val="24"/>
              </w:rPr>
              <w:t>2</w:t>
            </w:r>
            <w:r>
              <w:rPr>
                <w:rFonts w:hint="eastAsia" w:ascii="仿宋" w:hAnsi="仿宋" w:eastAsia="仿宋" w:cs="仿宋"/>
                <w:bCs/>
                <w:sz w:val="24"/>
              </w:rPr>
              <w:t>分，每有一项内容缺失扣</w:t>
            </w:r>
            <w:r>
              <w:rPr>
                <w:rFonts w:ascii="仿宋" w:hAnsi="仿宋" w:eastAsia="仿宋" w:cs="仿宋"/>
                <w:bCs/>
                <w:sz w:val="24"/>
              </w:rPr>
              <w:t>2</w:t>
            </w:r>
            <w:r>
              <w:rPr>
                <w:rFonts w:hint="eastAsia" w:ascii="仿宋" w:hAnsi="仿宋" w:eastAsia="仿宋" w:cs="仿宋"/>
                <w:bCs/>
                <w:sz w:val="24"/>
              </w:rPr>
              <w:t>分，每有一项内容存在不合理或不足或没有针对性的扣</w:t>
            </w:r>
            <w:r>
              <w:rPr>
                <w:rFonts w:ascii="仿宋" w:hAnsi="仿宋" w:eastAsia="仿宋" w:cs="仿宋"/>
                <w:bCs/>
                <w:sz w:val="24"/>
              </w:rPr>
              <w:t>1</w:t>
            </w:r>
            <w:r>
              <w:rPr>
                <w:rFonts w:hint="eastAsia" w:ascii="仿宋" w:hAnsi="仿宋" w:eastAsia="仿宋" w:cs="仿宋"/>
                <w:bCs/>
                <w:sz w:val="24"/>
              </w:rPr>
              <w:t>分，扣完为止。</w:t>
            </w:r>
          </w:p>
          <w:p>
            <w:pPr>
              <w:wordWrap w:val="0"/>
              <w:ind w:firstLine="28"/>
              <w:rPr>
                <w:rFonts w:ascii="仿宋" w:hAnsi="仿宋" w:eastAsia="仿宋" w:cs="仿宋"/>
                <w:bCs/>
                <w:sz w:val="24"/>
              </w:rPr>
            </w:pPr>
            <w:r>
              <w:rPr>
                <w:rFonts w:hint="eastAsia" w:ascii="仿宋" w:hAnsi="仿宋" w:eastAsia="仿宋" w:cs="仿宋"/>
                <w:bCs/>
                <w:sz w:val="24"/>
              </w:rPr>
              <w:t>注：</w:t>
            </w:r>
            <w:r>
              <w:rPr>
                <w:rFonts w:hint="eastAsia" w:ascii="仿宋" w:hAnsi="仿宋" w:eastAsia="仿宋" w:cs="仿宋"/>
                <w:bCs/>
                <w:sz w:val="24"/>
                <w:szCs w:val="24"/>
              </w:rPr>
              <w:t>项目名称、涉及的规范、标准与本项目要求不一致、分析简略、套用其他项目模板、流程不清晰或只有框架而无实际内容、内容与本项目无关等任意一种情形</w:t>
            </w:r>
            <w:r>
              <w:rPr>
                <w:rFonts w:hint="eastAsia" w:ascii="仿宋" w:hAnsi="仿宋" w:eastAsia="仿宋" w:cs="仿宋"/>
                <w:bCs/>
                <w:sz w:val="24"/>
              </w:rPr>
              <w:t>。</w:t>
            </w:r>
          </w:p>
        </w:tc>
        <w:tc>
          <w:tcPr>
            <w:tcW w:w="1117" w:type="pct"/>
            <w:tcBorders>
              <w:top w:val="single" w:color="auto" w:sz="4" w:space="0"/>
              <w:left w:val="single" w:color="auto" w:sz="4" w:space="0"/>
              <w:bottom w:val="single" w:color="auto" w:sz="4" w:space="0"/>
              <w:right w:val="single" w:color="auto" w:sz="4" w:space="0"/>
            </w:tcBorders>
            <w:vAlign w:val="center"/>
          </w:tcPr>
          <w:p>
            <w:pPr>
              <w:wordWrap w:val="0"/>
              <w:ind w:left="-38"/>
              <w:rPr>
                <w:rFonts w:ascii="仿宋" w:hAnsi="仿宋" w:eastAsia="仿宋" w:cs="仿宋"/>
                <w:sz w:val="24"/>
              </w:rPr>
            </w:pPr>
            <w:r>
              <w:rPr>
                <w:rFonts w:hint="eastAsia" w:ascii="仿宋" w:hAnsi="仿宋" w:eastAsia="仿宋" w:cs="仿宋"/>
                <w:sz w:val="24"/>
              </w:rPr>
              <w:t>以投标人提供的投标文件为准。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4"/>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4"/>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5"/>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rPr>
          <w:rFonts w:ascii="仿宋" w:hAnsi="仿宋" w:eastAsia="仿宋"/>
          <w:color w:val="000000" w:themeColor="text1"/>
          <w:sz w:val="28"/>
          <w:szCs w:val="28"/>
          <w14:textFill>
            <w14:solidFill>
              <w14:schemeClr w14:val="tx1"/>
            </w14:solidFill>
          </w14:textFill>
        </w:rPr>
      </w:pPr>
    </w:p>
    <w:p>
      <w:pPr>
        <w:pStyle w:val="5"/>
        <w:ind w:left="0" w:leftChars="0"/>
        <w:rPr>
          <w:rFonts w:ascii="仿宋" w:hAnsi="仿宋" w:eastAsia="仿宋"/>
          <w:color w:val="000000" w:themeColor="text1"/>
          <w:sz w:val="28"/>
          <w:szCs w:val="28"/>
          <w14:textFill>
            <w14:solidFill>
              <w14:schemeClr w14:val="tx1"/>
            </w14:solidFill>
          </w14:textFill>
        </w:rPr>
      </w:pPr>
    </w:p>
    <w:p>
      <w:pPr>
        <w:pStyle w:val="5"/>
        <w:ind w:left="0" w:leftChars="0"/>
        <w:rPr>
          <w:rFonts w:ascii="仿宋" w:hAnsi="仿宋" w:eastAsia="仿宋"/>
          <w:color w:val="000000" w:themeColor="text1"/>
          <w:sz w:val="28"/>
          <w:szCs w:val="28"/>
          <w14:textFill>
            <w14:solidFill>
              <w14:schemeClr w14:val="tx1"/>
            </w14:solidFill>
          </w14:textFill>
        </w:rPr>
      </w:pPr>
    </w:p>
    <w:p>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5"/>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4"/>
        <w:rPr>
          <w:rFonts w:cs="Times New Roman"/>
          <w:lang w:val="zh-CN"/>
        </w:rPr>
      </w:pPr>
      <w:r>
        <w:br w:type="page"/>
      </w:r>
    </w:p>
    <w:p>
      <w:pPr>
        <w:pStyle w:val="5"/>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2"/>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7"/>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7"/>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7"/>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4"/>
              <w:spacing w:line="360" w:lineRule="auto"/>
              <w:rPr>
                <w:rFonts w:ascii="仿宋" w:hAnsi="仿宋" w:eastAsia="仿宋" w:cs="仿宋"/>
                <w:sz w:val="24"/>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9"/>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E Inspira Sans">
    <w:altName w:val="Calibri"/>
    <w:panose1 w:val="00000000000000000000"/>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35575"/>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06555"/>
    <w:rsid w:val="00C071DA"/>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125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53A244E"/>
    <w:rsid w:val="074E2EF7"/>
    <w:rsid w:val="079972E3"/>
    <w:rsid w:val="08681BA6"/>
    <w:rsid w:val="0B1B7C79"/>
    <w:rsid w:val="0C7C4062"/>
    <w:rsid w:val="0D9773A6"/>
    <w:rsid w:val="0D9D24E2"/>
    <w:rsid w:val="0E3262BE"/>
    <w:rsid w:val="0F6500AE"/>
    <w:rsid w:val="121C60CC"/>
    <w:rsid w:val="1361186C"/>
    <w:rsid w:val="15EC41DA"/>
    <w:rsid w:val="17F37885"/>
    <w:rsid w:val="1A82318C"/>
    <w:rsid w:val="1C0A7E27"/>
    <w:rsid w:val="1F7A2683"/>
    <w:rsid w:val="21044B9D"/>
    <w:rsid w:val="21450C91"/>
    <w:rsid w:val="22055993"/>
    <w:rsid w:val="24725240"/>
    <w:rsid w:val="28042D57"/>
    <w:rsid w:val="28FC1071"/>
    <w:rsid w:val="29BB23E3"/>
    <w:rsid w:val="2B996587"/>
    <w:rsid w:val="2BD13993"/>
    <w:rsid w:val="2CF636AC"/>
    <w:rsid w:val="2F9D0AAC"/>
    <w:rsid w:val="305331A8"/>
    <w:rsid w:val="313F0BB3"/>
    <w:rsid w:val="328C6861"/>
    <w:rsid w:val="330662B0"/>
    <w:rsid w:val="339577D0"/>
    <w:rsid w:val="35C80195"/>
    <w:rsid w:val="364113AE"/>
    <w:rsid w:val="372B531C"/>
    <w:rsid w:val="372B7DE5"/>
    <w:rsid w:val="37A6256B"/>
    <w:rsid w:val="3844628F"/>
    <w:rsid w:val="39CE723C"/>
    <w:rsid w:val="3AA773FE"/>
    <w:rsid w:val="3E327C16"/>
    <w:rsid w:val="3EA41A7B"/>
    <w:rsid w:val="3FF51B86"/>
    <w:rsid w:val="402819DE"/>
    <w:rsid w:val="41524DB6"/>
    <w:rsid w:val="429E3216"/>
    <w:rsid w:val="439B0C97"/>
    <w:rsid w:val="43E27BB0"/>
    <w:rsid w:val="4654512D"/>
    <w:rsid w:val="493960B2"/>
    <w:rsid w:val="4A47418F"/>
    <w:rsid w:val="4ABD1AD2"/>
    <w:rsid w:val="4E9261EA"/>
    <w:rsid w:val="4F37130D"/>
    <w:rsid w:val="50C8395B"/>
    <w:rsid w:val="50CF3045"/>
    <w:rsid w:val="50E27F05"/>
    <w:rsid w:val="51BF7D60"/>
    <w:rsid w:val="52530863"/>
    <w:rsid w:val="527252B8"/>
    <w:rsid w:val="531F70F4"/>
    <w:rsid w:val="553C243D"/>
    <w:rsid w:val="56F50266"/>
    <w:rsid w:val="59EB6C90"/>
    <w:rsid w:val="5BFE4CEE"/>
    <w:rsid w:val="5CAA0423"/>
    <w:rsid w:val="5D94028A"/>
    <w:rsid w:val="5DCC4AD3"/>
    <w:rsid w:val="5F2B6F1B"/>
    <w:rsid w:val="5F5156AC"/>
    <w:rsid w:val="5F97010C"/>
    <w:rsid w:val="61FA4982"/>
    <w:rsid w:val="63345F40"/>
    <w:rsid w:val="6353028A"/>
    <w:rsid w:val="649E4994"/>
    <w:rsid w:val="64C179D9"/>
    <w:rsid w:val="655A0F44"/>
    <w:rsid w:val="66AA4BC9"/>
    <w:rsid w:val="66B75538"/>
    <w:rsid w:val="68097FE5"/>
    <w:rsid w:val="688C64CE"/>
    <w:rsid w:val="6AE07204"/>
    <w:rsid w:val="6BC8789F"/>
    <w:rsid w:val="6E96154E"/>
    <w:rsid w:val="6FB57D98"/>
    <w:rsid w:val="6FB645D5"/>
    <w:rsid w:val="7277650C"/>
    <w:rsid w:val="73B644A9"/>
    <w:rsid w:val="763706BF"/>
    <w:rsid w:val="77A16184"/>
    <w:rsid w:val="78E44D92"/>
    <w:rsid w:val="79CE0777"/>
    <w:rsid w:val="7BC73BDC"/>
    <w:rsid w:val="7BF95C01"/>
    <w:rsid w:val="7C3E3B8A"/>
    <w:rsid w:val="7C574A54"/>
    <w:rsid w:val="7EB224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annotation text"/>
    <w:basedOn w:val="1"/>
    <w:link w:val="19"/>
    <w:qFormat/>
    <w:uiPriority w:val="0"/>
    <w:pPr>
      <w:jc w:val="left"/>
    </w:pPr>
    <w:rPr>
      <w:sz w:val="18"/>
      <w:szCs w:val="20"/>
    </w:rPr>
  </w:style>
  <w:style w:type="paragraph" w:styleId="4">
    <w:name w:val="Body Text"/>
    <w:basedOn w:val="1"/>
    <w:link w:val="18"/>
    <w:qFormat/>
    <w:uiPriority w:val="0"/>
    <w:rPr>
      <w:rFonts w:ascii="Times New Roman"/>
    </w:rPr>
  </w:style>
  <w:style w:type="paragraph" w:styleId="5">
    <w:name w:val="Body Text Indent"/>
    <w:basedOn w:val="1"/>
    <w:link w:val="17"/>
    <w:qFormat/>
    <w:uiPriority w:val="0"/>
    <w:pPr>
      <w:spacing w:after="120"/>
      <w:ind w:left="420" w:leftChars="200"/>
    </w:pPr>
    <w:rPr>
      <w:rFonts w:ascii="Calibri" w:hAnsi="Calibri" w:eastAsia="宋体" w:cs="Times New Roman"/>
      <w:lang w:val="zh-CN"/>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Body Text First Indent"/>
    <w:basedOn w:val="4"/>
    <w:link w:val="20"/>
    <w:unhideWhenUsed/>
    <w:qFormat/>
    <w:uiPriority w:val="99"/>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paragraph" w:customStyle="1" w:styleId="14">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5">
    <w:name w:val="页眉 字符"/>
    <w:basedOn w:val="12"/>
    <w:link w:val="7"/>
    <w:qFormat/>
    <w:uiPriority w:val="0"/>
    <w:rPr>
      <w:rFonts w:asciiTheme="minorHAnsi" w:hAnsiTheme="minorHAnsi" w:eastAsiaTheme="minorEastAsia" w:cstheme="minorBidi"/>
      <w:kern w:val="2"/>
      <w:sz w:val="18"/>
      <w:szCs w:val="18"/>
    </w:rPr>
  </w:style>
  <w:style w:type="character" w:customStyle="1" w:styleId="16">
    <w:name w:val="页脚 字符"/>
    <w:basedOn w:val="12"/>
    <w:link w:val="6"/>
    <w:qFormat/>
    <w:uiPriority w:val="0"/>
    <w:rPr>
      <w:rFonts w:asciiTheme="minorHAnsi" w:hAnsiTheme="minorHAnsi" w:eastAsiaTheme="minorEastAsia" w:cstheme="minorBidi"/>
      <w:kern w:val="2"/>
      <w:sz w:val="18"/>
      <w:szCs w:val="18"/>
    </w:rPr>
  </w:style>
  <w:style w:type="character" w:customStyle="1" w:styleId="17">
    <w:name w:val="正文文本缩进 字符"/>
    <w:basedOn w:val="12"/>
    <w:link w:val="5"/>
    <w:qFormat/>
    <w:uiPriority w:val="0"/>
    <w:rPr>
      <w:rFonts w:ascii="Calibri" w:hAnsi="Calibri"/>
      <w:kern w:val="2"/>
      <w:sz w:val="21"/>
      <w:szCs w:val="24"/>
      <w:lang w:val="zh-CN"/>
    </w:rPr>
  </w:style>
  <w:style w:type="character" w:customStyle="1" w:styleId="18">
    <w:name w:val="正文文本 字符"/>
    <w:basedOn w:val="12"/>
    <w:link w:val="4"/>
    <w:qFormat/>
    <w:uiPriority w:val="99"/>
    <w:rPr>
      <w:rFonts w:hAnsiTheme="minorHAnsi" w:eastAsiaTheme="minorEastAsia" w:cstheme="minorBidi"/>
      <w:kern w:val="2"/>
      <w:sz w:val="21"/>
      <w:szCs w:val="24"/>
    </w:rPr>
  </w:style>
  <w:style w:type="character" w:customStyle="1" w:styleId="19">
    <w:name w:val="批注文字 字符"/>
    <w:link w:val="3"/>
    <w:qFormat/>
    <w:uiPriority w:val="0"/>
    <w:rPr>
      <w:rFonts w:asciiTheme="minorHAnsi" w:hAnsiTheme="minorHAnsi" w:eastAsiaTheme="minorEastAsia" w:cstheme="minorBidi"/>
      <w:kern w:val="2"/>
      <w:sz w:val="18"/>
    </w:rPr>
  </w:style>
  <w:style w:type="character" w:customStyle="1" w:styleId="20">
    <w:name w:val="正文首行缩进 字符"/>
    <w:basedOn w:val="18"/>
    <w:link w:val="9"/>
    <w:qFormat/>
    <w:uiPriority w:val="99"/>
    <w:rPr>
      <w:rFonts w:hAnsiTheme="minorHAnsi" w:eastAsiaTheme="minorEastAsia" w:cstheme="minorBidi"/>
      <w:kern w:val="2"/>
      <w:sz w:val="21"/>
      <w:szCs w:val="24"/>
    </w:rPr>
  </w:style>
  <w:style w:type="paragraph" w:styleId="21">
    <w:name w:val="List Paragraph"/>
    <w:basedOn w:val="1"/>
    <w:qFormat/>
    <w:uiPriority w:val="99"/>
    <w:pPr>
      <w:ind w:firstLine="420" w:firstLineChars="200"/>
    </w:pPr>
  </w:style>
  <w:style w:type="paragraph" w:customStyle="1" w:styleId="22">
    <w:name w:val="p15"/>
    <w:basedOn w:val="1"/>
    <w:qFormat/>
    <w:uiPriority w:val="0"/>
    <w:pPr>
      <w:widowControl/>
    </w:pPr>
    <w:rPr>
      <w:rFonts w:asci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1410</Words>
  <Characters>8038</Characters>
  <Lines>66</Lines>
  <Paragraphs>18</Paragraphs>
  <TotalTime>2</TotalTime>
  <ScaleCrop>false</ScaleCrop>
  <LinksUpToDate>false</LinksUpToDate>
  <CharactersWithSpaces>9430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2023-11-13T07:37:00Z</dcterms:created>
  <dc:creator>隆道-01</dc:creator>
  <cp:lastModifiedBy>起点</cp:lastModifiedBy>
  <dcterms:modified xsi:type="dcterms:W3CDTF">2023-12-05T13:10:26Z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7BA3DE2D4CFB4103841B16E80C4D35B4_13</vt:lpwstr>
  </property>
</Properties>
</file>